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CB665" w14:textId="77777777" w:rsidR="00754C61" w:rsidRPr="00B04797" w:rsidRDefault="00754C61" w:rsidP="00754C61">
      <w:pPr>
        <w:spacing w:line="480" w:lineRule="auto"/>
        <w:jc w:val="center"/>
        <w:rPr>
          <w:rFonts w:asciiTheme="majorBidi" w:hAnsiTheme="majorBidi" w:cs="Times New Roman"/>
          <w:b/>
          <w:bCs/>
          <w:sz w:val="26"/>
          <w:szCs w:val="26"/>
          <w:lang w:val="en-US"/>
        </w:rPr>
      </w:pPr>
      <w:r w:rsidRPr="00B04797">
        <w:rPr>
          <w:rFonts w:asciiTheme="majorBidi" w:hAnsiTheme="majorBidi" w:cs="Times New Roman"/>
          <w:b/>
          <w:bCs/>
          <w:sz w:val="26"/>
          <w:szCs w:val="26"/>
          <w:lang w:val="en-US"/>
        </w:rPr>
        <w:t>BAB II</w:t>
      </w:r>
    </w:p>
    <w:p w14:paraId="093E2540" w14:textId="77777777" w:rsidR="00754C61" w:rsidRPr="00B04797" w:rsidRDefault="00754C61" w:rsidP="00754C61">
      <w:pPr>
        <w:spacing w:line="480" w:lineRule="auto"/>
        <w:jc w:val="center"/>
        <w:rPr>
          <w:rFonts w:asciiTheme="majorBidi" w:hAnsiTheme="majorBidi" w:cs="Times New Roman"/>
          <w:b/>
          <w:bCs/>
          <w:sz w:val="26"/>
          <w:szCs w:val="26"/>
          <w:lang w:val="en-US"/>
        </w:rPr>
      </w:pPr>
      <w:r w:rsidRPr="00B04797">
        <w:rPr>
          <w:rFonts w:asciiTheme="majorBidi" w:hAnsiTheme="majorBidi" w:cs="Times New Roman"/>
          <w:b/>
          <w:bCs/>
          <w:sz w:val="26"/>
          <w:szCs w:val="26"/>
          <w:lang w:val="en-US"/>
        </w:rPr>
        <w:t>KAJIAN PUSTAKA</w:t>
      </w:r>
    </w:p>
    <w:p w14:paraId="3027B296" w14:textId="77777777" w:rsidR="00754C61" w:rsidRDefault="00754C61" w:rsidP="00754C61">
      <w:pPr>
        <w:spacing w:line="480" w:lineRule="auto"/>
        <w:jc w:val="center"/>
        <w:rPr>
          <w:rFonts w:asciiTheme="majorBidi" w:hAnsiTheme="majorBidi" w:cs="Times New Roman"/>
          <w:lang w:val="en-US"/>
        </w:rPr>
      </w:pPr>
    </w:p>
    <w:p w14:paraId="7DFAF004" w14:textId="77777777" w:rsidR="00754C61" w:rsidRPr="00B04797" w:rsidRDefault="00754C61" w:rsidP="00754C61">
      <w:pPr>
        <w:pStyle w:val="ListParagraph"/>
        <w:numPr>
          <w:ilvl w:val="0"/>
          <w:numId w:val="1"/>
        </w:numPr>
        <w:spacing w:line="480" w:lineRule="auto"/>
        <w:ind w:left="0" w:hanging="284"/>
        <w:rPr>
          <w:rFonts w:asciiTheme="majorBidi" w:hAnsiTheme="majorBidi" w:cs="Times New Roman"/>
          <w:b/>
          <w:bCs/>
          <w:sz w:val="24"/>
          <w:szCs w:val="24"/>
          <w:lang w:val="en-US"/>
        </w:rPr>
      </w:pPr>
      <w:r>
        <w:rPr>
          <w:rFonts w:asciiTheme="majorBidi" w:hAnsiTheme="majorBidi" w:cs="Times New Roman"/>
          <w:b/>
          <w:bCs/>
          <w:sz w:val="24"/>
          <w:szCs w:val="24"/>
          <w:lang w:val="en-US"/>
        </w:rPr>
        <w:t xml:space="preserve"> Konsep dan </w:t>
      </w:r>
      <w:r w:rsidRPr="00B04797">
        <w:rPr>
          <w:rFonts w:asciiTheme="majorBidi" w:hAnsiTheme="majorBidi" w:cs="Times New Roman"/>
          <w:b/>
          <w:bCs/>
          <w:sz w:val="24"/>
          <w:szCs w:val="24"/>
          <w:lang w:val="en-US"/>
        </w:rPr>
        <w:t>Amaliah Nahdhatul Ulama (NU)</w:t>
      </w:r>
    </w:p>
    <w:p w14:paraId="1ED6CD41" w14:textId="77777777" w:rsidR="00754C61" w:rsidRDefault="00754C61" w:rsidP="00754C61">
      <w:pPr>
        <w:pStyle w:val="ListParagraph"/>
        <w:spacing w:line="480" w:lineRule="auto"/>
        <w:ind w:left="0" w:firstLine="720"/>
        <w:jc w:val="both"/>
        <w:rPr>
          <w:rFonts w:asciiTheme="majorBidi" w:hAnsiTheme="majorBidi" w:cs="Times New Roman"/>
          <w:sz w:val="24"/>
          <w:szCs w:val="24"/>
        </w:rPr>
      </w:pPr>
      <w:r>
        <w:rPr>
          <w:rFonts w:asciiTheme="majorBidi" w:hAnsiTheme="majorBidi" w:cs="Times New Roman"/>
          <w:sz w:val="24"/>
          <w:szCs w:val="24"/>
        </w:rPr>
        <w:t xml:space="preserve">Nahdhatul Ulama merupakan organisasi berpaham Ahlussunnah wal Jama’ah. Organisasi ini terbentuk dilatar belakangi untuk mempertahankan ajaran islam yang berpaham Ahlussunnah wal Jama’ah. Dalam istilah masyarakat Indonesia, Aswaja merupakan singkatan dari </w:t>
      </w:r>
      <w:r w:rsidRPr="00174BFE">
        <w:rPr>
          <w:rFonts w:asciiTheme="majorBidi" w:hAnsiTheme="majorBidi" w:cs="Times New Roman"/>
          <w:sz w:val="24"/>
          <w:szCs w:val="24"/>
        </w:rPr>
        <w:t>Ahlussunnah wal Jama’ah</w:t>
      </w:r>
      <w:r>
        <w:rPr>
          <w:rFonts w:asciiTheme="majorBidi" w:hAnsiTheme="majorBidi" w:cs="Times New Roman"/>
          <w:sz w:val="24"/>
          <w:szCs w:val="24"/>
        </w:rPr>
        <w:t xml:space="preserve">. Secara Bahasa, Ahlussunnah wal </w:t>
      </w:r>
      <w:proofErr w:type="gramStart"/>
      <w:r>
        <w:rPr>
          <w:rFonts w:asciiTheme="majorBidi" w:hAnsiTheme="majorBidi" w:cs="Times New Roman"/>
          <w:sz w:val="24"/>
          <w:szCs w:val="24"/>
        </w:rPr>
        <w:t>Jama’ah  memiliki</w:t>
      </w:r>
      <w:proofErr w:type="gramEnd"/>
      <w:r>
        <w:rPr>
          <w:rFonts w:asciiTheme="majorBidi" w:hAnsiTheme="majorBidi" w:cs="Times New Roman"/>
          <w:sz w:val="24"/>
          <w:szCs w:val="24"/>
        </w:rPr>
        <w:t xml:space="preserve"> arti sebagai berikut:</w:t>
      </w:r>
    </w:p>
    <w:p w14:paraId="318CFD92" w14:textId="77777777" w:rsidR="00754C61" w:rsidRDefault="00754C61" w:rsidP="00754C61">
      <w:pPr>
        <w:pStyle w:val="ListParagraph"/>
        <w:spacing w:line="480" w:lineRule="auto"/>
        <w:ind w:left="0"/>
        <w:jc w:val="both"/>
        <w:rPr>
          <w:rFonts w:asciiTheme="majorBidi" w:hAnsiTheme="majorBidi" w:cs="Times New Roman"/>
          <w:sz w:val="24"/>
          <w:szCs w:val="24"/>
        </w:rPr>
      </w:pPr>
      <w:r w:rsidRPr="00174BFE">
        <w:rPr>
          <w:rFonts w:asciiTheme="majorBidi" w:hAnsiTheme="majorBidi" w:cs="Times New Roman"/>
          <w:i/>
          <w:iCs/>
          <w:sz w:val="24"/>
          <w:szCs w:val="24"/>
        </w:rPr>
        <w:t>Ahlun</w:t>
      </w:r>
      <w:r>
        <w:rPr>
          <w:rFonts w:asciiTheme="majorBidi" w:hAnsiTheme="majorBidi" w:cs="Times New Roman"/>
          <w:sz w:val="24"/>
          <w:szCs w:val="24"/>
        </w:rPr>
        <w:t xml:space="preserve"> berarti sebagai keluarga, pengikut atau penduduk.</w:t>
      </w:r>
    </w:p>
    <w:p w14:paraId="08E8A468" w14:textId="77777777" w:rsidR="00754C61" w:rsidRDefault="00754C61" w:rsidP="00754C61">
      <w:pPr>
        <w:pStyle w:val="ListParagraph"/>
        <w:spacing w:line="480" w:lineRule="auto"/>
        <w:ind w:left="0"/>
        <w:jc w:val="both"/>
        <w:rPr>
          <w:rFonts w:asciiTheme="majorBidi" w:hAnsiTheme="majorBidi" w:cs="Times New Roman"/>
          <w:sz w:val="24"/>
          <w:szCs w:val="24"/>
        </w:rPr>
      </w:pPr>
      <w:r w:rsidRPr="00174BFE">
        <w:rPr>
          <w:rFonts w:asciiTheme="majorBidi" w:hAnsiTheme="majorBidi" w:cs="Times New Roman"/>
          <w:i/>
          <w:iCs/>
          <w:sz w:val="24"/>
          <w:szCs w:val="24"/>
        </w:rPr>
        <w:t>Assunnah</w:t>
      </w:r>
      <w:r>
        <w:rPr>
          <w:rFonts w:asciiTheme="majorBidi" w:hAnsiTheme="majorBidi" w:cs="Times New Roman"/>
          <w:sz w:val="24"/>
          <w:szCs w:val="24"/>
        </w:rPr>
        <w:t xml:space="preserve"> berartikan jalan, cara, atau perilaku walaupun tidak diridhai</w:t>
      </w:r>
    </w:p>
    <w:p w14:paraId="5FF7DF81" w14:textId="77777777" w:rsidR="00754C61" w:rsidRDefault="00754C61" w:rsidP="00754C61">
      <w:pPr>
        <w:pStyle w:val="ListParagraph"/>
        <w:spacing w:line="480" w:lineRule="auto"/>
        <w:ind w:left="0"/>
        <w:jc w:val="both"/>
        <w:rPr>
          <w:rFonts w:asciiTheme="majorBidi" w:hAnsiTheme="majorBidi" w:cs="Times New Roman"/>
          <w:sz w:val="24"/>
          <w:szCs w:val="24"/>
        </w:rPr>
      </w:pPr>
      <w:r w:rsidRPr="00174BFE">
        <w:rPr>
          <w:rFonts w:asciiTheme="majorBidi" w:hAnsiTheme="majorBidi" w:cs="Times New Roman"/>
          <w:i/>
          <w:iCs/>
          <w:sz w:val="24"/>
          <w:szCs w:val="24"/>
        </w:rPr>
        <w:t>Aljama’ah</w:t>
      </w:r>
      <w:r>
        <w:rPr>
          <w:rFonts w:asciiTheme="majorBidi" w:hAnsiTheme="majorBidi" w:cs="Times New Roman"/>
          <w:sz w:val="24"/>
          <w:szCs w:val="24"/>
        </w:rPr>
        <w:t xml:space="preserve"> berartikan sebagai mengumpulkan sesuatu.</w:t>
      </w:r>
    </w:p>
    <w:p w14:paraId="43463AC5" w14:textId="77777777" w:rsidR="00754C61" w:rsidRDefault="00754C61" w:rsidP="00754C61">
      <w:pPr>
        <w:pStyle w:val="ListParagraph"/>
        <w:spacing w:line="480" w:lineRule="auto"/>
        <w:ind w:left="0" w:firstLine="720"/>
        <w:jc w:val="both"/>
        <w:rPr>
          <w:rFonts w:asciiTheme="majorBidi" w:hAnsiTheme="majorBidi" w:cs="Times New Roman"/>
          <w:sz w:val="24"/>
          <w:szCs w:val="24"/>
        </w:rPr>
        <w:sectPr w:rsidR="00754C61" w:rsidSect="003F09CB">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5"/>
          <w:cols w:space="708"/>
          <w:docGrid w:linePitch="360"/>
        </w:sectPr>
      </w:pPr>
      <w:r>
        <w:rPr>
          <w:rFonts w:asciiTheme="majorBidi" w:hAnsiTheme="majorBidi" w:cs="Times New Roman"/>
          <w:sz w:val="24"/>
          <w:szCs w:val="24"/>
        </w:rPr>
        <w:t>Secara istilah, Ahlussunnah wal Jama’ah berarti orang-orang yang selalu berpedoman kepada sunnah Nabi SAW.dan jalan para Sahabatnya dalam masalah akidah keagamaan, amal-amal lahiriyah serta akhlak hati.</w:t>
      </w:r>
      <w:r>
        <w:rPr>
          <w:rStyle w:val="FootnoteReference"/>
          <w:rFonts w:asciiTheme="majorBidi" w:hAnsiTheme="majorBidi"/>
          <w:sz w:val="24"/>
          <w:szCs w:val="24"/>
        </w:rPr>
        <w:footnoteReference w:id="1"/>
      </w:r>
      <w:r>
        <w:rPr>
          <w:rFonts w:asciiTheme="majorBidi" w:hAnsiTheme="majorBidi" w:cs="Times New Roman"/>
          <w:sz w:val="24"/>
          <w:szCs w:val="24"/>
        </w:rPr>
        <w:t xml:space="preserve"> Dengan begitu, yang termasuk Ahlussunnah wal Jama’ah merupakan mereka yang pemahaman dan pengalaman agamanya didasarkan pada pemahaman dan pengalaman sahabat, dan kemudian sebagaimana yang dipahami dan diamalkan oleh generasi kemudian secara berkelanjutan yang bersandar pada mata rantai keilmuan (sanad) yang tidak terputus dan sampai pada Nabi SAW, baik dalam pandangan dan pemahaman </w:t>
      </w:r>
    </w:p>
    <w:p w14:paraId="78496869" w14:textId="77777777" w:rsidR="00754C61" w:rsidRDefault="00754C61" w:rsidP="00754C61">
      <w:pPr>
        <w:pStyle w:val="ListParagraph"/>
        <w:spacing w:line="480" w:lineRule="auto"/>
        <w:ind w:left="0"/>
        <w:jc w:val="both"/>
        <w:rPr>
          <w:rFonts w:asciiTheme="majorBidi" w:hAnsiTheme="majorBidi" w:cs="Times New Roman"/>
          <w:sz w:val="24"/>
          <w:szCs w:val="24"/>
        </w:rPr>
      </w:pPr>
      <w:r>
        <w:rPr>
          <w:rFonts w:asciiTheme="majorBidi" w:hAnsiTheme="majorBidi" w:cs="Times New Roman"/>
          <w:sz w:val="24"/>
          <w:szCs w:val="24"/>
        </w:rPr>
        <w:lastRenderedPageBreak/>
        <w:t>maupun metode memahami.</w:t>
      </w:r>
      <w:r>
        <w:rPr>
          <w:rStyle w:val="FootnoteReference"/>
          <w:rFonts w:asciiTheme="majorBidi" w:hAnsiTheme="majorBidi"/>
          <w:sz w:val="24"/>
          <w:szCs w:val="24"/>
        </w:rPr>
        <w:footnoteReference w:id="2"/>
      </w:r>
      <w:r>
        <w:rPr>
          <w:rFonts w:asciiTheme="majorBidi" w:hAnsiTheme="majorBidi" w:cs="Times New Roman"/>
          <w:sz w:val="24"/>
          <w:szCs w:val="24"/>
        </w:rPr>
        <w:t xml:space="preserve"> Pokok-pokok keyakinan yang berkaitan dengan tauhid dan selainnya menurut Ahlussunnah wal Jama’ah harus dilandasi oleh dalil dan argumentasi yang definitive (qath’i) dari Al-Qur’an, Hadits, Ijma’ ulama dan argumentasi akal yang sehat. Dengan begitu, paham Ahlussunnah wal Jama’ah selalu berlandasan hukum kepada Al-Qur’an, Hadits, Ijma’, dan Akal dalam mencari jalan keluar suatu permasalahan.</w:t>
      </w:r>
      <w:r>
        <w:rPr>
          <w:rStyle w:val="FootnoteReference"/>
          <w:rFonts w:asciiTheme="majorBidi" w:hAnsiTheme="majorBidi"/>
          <w:sz w:val="24"/>
          <w:szCs w:val="24"/>
        </w:rPr>
        <w:footnoteReference w:id="3"/>
      </w:r>
    </w:p>
    <w:p w14:paraId="333783F9" w14:textId="77777777" w:rsidR="00754C61" w:rsidRDefault="00754C61" w:rsidP="00754C61">
      <w:pPr>
        <w:pStyle w:val="ListParagraph"/>
        <w:spacing w:line="240" w:lineRule="auto"/>
        <w:ind w:left="0" w:firstLine="720"/>
        <w:jc w:val="both"/>
        <w:rPr>
          <w:rFonts w:asciiTheme="majorBidi" w:hAnsiTheme="majorBidi" w:cs="Times New Roman"/>
          <w:sz w:val="24"/>
          <w:szCs w:val="24"/>
        </w:rPr>
      </w:pPr>
    </w:p>
    <w:p w14:paraId="73CEBCCC" w14:textId="77777777" w:rsidR="00754C61" w:rsidRPr="00317BAD" w:rsidRDefault="00754C61" w:rsidP="00754C61">
      <w:pPr>
        <w:pStyle w:val="ListParagraph"/>
        <w:numPr>
          <w:ilvl w:val="0"/>
          <w:numId w:val="6"/>
        </w:numPr>
        <w:spacing w:line="480" w:lineRule="auto"/>
        <w:ind w:left="426"/>
        <w:jc w:val="both"/>
        <w:rPr>
          <w:rFonts w:asciiTheme="majorBidi" w:hAnsiTheme="majorBidi" w:cs="Times New Roman"/>
          <w:b/>
          <w:bCs/>
          <w:sz w:val="24"/>
          <w:szCs w:val="24"/>
        </w:rPr>
      </w:pPr>
      <w:r w:rsidRPr="00317BAD">
        <w:rPr>
          <w:rFonts w:asciiTheme="majorBidi" w:hAnsiTheme="majorBidi" w:cs="Times New Roman"/>
          <w:b/>
          <w:bCs/>
          <w:sz w:val="24"/>
          <w:szCs w:val="24"/>
        </w:rPr>
        <w:t>Sejarah Lahirnya Nahdhatul Ulama di Indonesia</w:t>
      </w:r>
    </w:p>
    <w:p w14:paraId="5D2DDA0A" w14:textId="77777777" w:rsidR="00754C61" w:rsidRDefault="00754C61" w:rsidP="00754C61">
      <w:pPr>
        <w:pStyle w:val="ListParagraph"/>
        <w:spacing w:line="480" w:lineRule="auto"/>
        <w:ind w:left="0" w:firstLine="720"/>
        <w:jc w:val="both"/>
        <w:rPr>
          <w:rFonts w:asciiTheme="majorBidi" w:hAnsiTheme="majorBidi" w:cs="Times New Roman"/>
          <w:sz w:val="24"/>
          <w:szCs w:val="24"/>
        </w:rPr>
      </w:pPr>
      <w:r>
        <w:rPr>
          <w:rFonts w:asciiTheme="majorBidi" w:hAnsiTheme="majorBidi" w:cs="Times New Roman"/>
          <w:sz w:val="24"/>
          <w:szCs w:val="24"/>
        </w:rPr>
        <w:t xml:space="preserve">Di Indonesia, paham Aswaja memunculkan organisasi Islam yakni organisasi Nahdhatul ‘Ulama. Nahdhatul ‘Ulama merupakan organisasi yang pada mulanya didirikan oleh para alim ulama-pesantren sebelum kelahiran NU di Surabaya pada tahun 1926. </w:t>
      </w:r>
      <w:r>
        <w:rPr>
          <w:rStyle w:val="FootnoteReference"/>
          <w:rFonts w:asciiTheme="majorBidi" w:hAnsiTheme="majorBidi"/>
          <w:sz w:val="24"/>
          <w:szCs w:val="24"/>
        </w:rPr>
        <w:footnoteReference w:id="4"/>
      </w:r>
      <w:r>
        <w:rPr>
          <w:rFonts w:asciiTheme="majorBidi" w:hAnsiTheme="majorBidi" w:cs="Times New Roman"/>
          <w:sz w:val="24"/>
          <w:szCs w:val="24"/>
        </w:rPr>
        <w:t xml:space="preserve"> Nahdhatul Ulama merupakan pengungsung Islam tradisional di Indonesia. Tradisisonal disini mempunyai dua arti, yang satu bersifat merendahkan, yang mana berarti merendahkan jika dikembalikan ke bentuk kuno atau muslim kuno yang berasal dari desa dalam hal berintelektual, beragama, dan berbudaya. dan yang satunya bersifat netral (biasa saja), yaitu pemahaman mengenai muslim tradisional yang menunjukkan bahwa mereka adalah sekelompok orang yang percaya bahwa muslim yang tidak mempunyai keahlian khusus dalam berijtihad harus mengambil atau mengikuti dari salah satu empat madzhab hukum </w:t>
      </w:r>
      <w:r>
        <w:rPr>
          <w:rFonts w:asciiTheme="majorBidi" w:hAnsiTheme="majorBidi" w:cs="Times New Roman"/>
          <w:sz w:val="24"/>
          <w:szCs w:val="24"/>
        </w:rPr>
        <w:lastRenderedPageBreak/>
        <w:t>dan mengadopsi pendekatan yang bertahap dan toleran untuk berdakwah ketika berurusan dengan kearifan lokal atau tradisi setempat.</w:t>
      </w:r>
      <w:r>
        <w:rPr>
          <w:rStyle w:val="FootnoteReference"/>
          <w:rFonts w:asciiTheme="majorBidi" w:hAnsiTheme="majorBidi"/>
          <w:sz w:val="24"/>
          <w:szCs w:val="24"/>
        </w:rPr>
        <w:footnoteReference w:id="5"/>
      </w:r>
    </w:p>
    <w:p w14:paraId="43129C42" w14:textId="77777777" w:rsidR="00754C61" w:rsidRDefault="00754C61" w:rsidP="00754C61">
      <w:pPr>
        <w:pStyle w:val="ListParagraph"/>
        <w:spacing w:line="480" w:lineRule="auto"/>
        <w:ind w:left="0" w:firstLine="720"/>
        <w:jc w:val="both"/>
        <w:rPr>
          <w:rFonts w:asciiTheme="majorBidi" w:hAnsiTheme="majorBidi" w:cs="Times New Roman"/>
          <w:sz w:val="24"/>
          <w:szCs w:val="24"/>
        </w:rPr>
      </w:pPr>
      <w:r>
        <w:rPr>
          <w:rFonts w:asciiTheme="majorBidi" w:hAnsiTheme="majorBidi" w:cs="Times New Roman"/>
          <w:sz w:val="24"/>
          <w:szCs w:val="24"/>
        </w:rPr>
        <w:t>Keunikan kelahiran NU terletak pada waktu dan karakter kemunculannya. Dalam hal waktu, pendirian NU tidak bisa dilihat hanya dari apa yang terjadi selama pendiriannya. NU telah ada selama lebih dari 93 tahun, tetapi masih mempertahankan karakter awalnya, meskipun maraknya perubahan sosial-politik di Negara ini. Selama 25 tahun, NU berada dibawah kekuasaan Belanda dan Jepang, 20 tahun berada di bawah pemerintahan Soekarno, lebih dari 32 tahun di bawah rezim Soeharto, dan sekarang di bawah proses demokratisasi Indonesia yang sedang berlangsung.</w:t>
      </w:r>
      <w:r>
        <w:rPr>
          <w:rStyle w:val="FootnoteReference"/>
          <w:rFonts w:asciiTheme="majorBidi" w:hAnsiTheme="majorBidi"/>
          <w:sz w:val="24"/>
          <w:szCs w:val="24"/>
        </w:rPr>
        <w:footnoteReference w:id="6"/>
      </w:r>
      <w:r>
        <w:rPr>
          <w:rFonts w:asciiTheme="majorBidi" w:hAnsiTheme="majorBidi" w:cs="Times New Roman"/>
          <w:sz w:val="24"/>
          <w:szCs w:val="24"/>
        </w:rPr>
        <w:t xml:space="preserve"> Sejak awal, kelahiran NU merupakan Jam’iyyah Ijtima’iyyah yang membangun Gerakan keagamaan pada level yang paling bawah, yakni masyarakat. Jika kita Kembali menengok sejarah, kelahiran NU tidak lain muncul karena keprihatinan akan upaya penghapusan kearifan lokal dalam membangun keberagaman masyarakat.</w:t>
      </w:r>
      <w:r>
        <w:rPr>
          <w:rStyle w:val="FootnoteReference"/>
          <w:rFonts w:asciiTheme="majorBidi" w:hAnsiTheme="majorBidi"/>
          <w:sz w:val="24"/>
          <w:szCs w:val="24"/>
        </w:rPr>
        <w:footnoteReference w:id="7"/>
      </w:r>
    </w:p>
    <w:p w14:paraId="3C0155A9" w14:textId="77777777" w:rsidR="00754C61" w:rsidRDefault="00754C61" w:rsidP="00754C61">
      <w:pPr>
        <w:pStyle w:val="ListParagraph"/>
        <w:spacing w:line="240" w:lineRule="auto"/>
        <w:ind w:left="0" w:firstLine="720"/>
        <w:jc w:val="both"/>
        <w:rPr>
          <w:rFonts w:asciiTheme="majorBidi" w:hAnsiTheme="majorBidi" w:cs="Times New Roman"/>
          <w:sz w:val="24"/>
          <w:szCs w:val="24"/>
        </w:rPr>
      </w:pPr>
    </w:p>
    <w:p w14:paraId="1A400B64" w14:textId="77777777" w:rsidR="00754C61" w:rsidRDefault="00754C61" w:rsidP="00754C61">
      <w:pPr>
        <w:pStyle w:val="ListParagraph"/>
        <w:numPr>
          <w:ilvl w:val="0"/>
          <w:numId w:val="6"/>
        </w:numPr>
        <w:spacing w:line="240" w:lineRule="auto"/>
        <w:ind w:left="426"/>
        <w:jc w:val="both"/>
        <w:rPr>
          <w:rFonts w:asciiTheme="majorBidi" w:hAnsiTheme="majorBidi" w:cs="Times New Roman"/>
          <w:b/>
          <w:bCs/>
          <w:sz w:val="24"/>
          <w:szCs w:val="24"/>
        </w:rPr>
      </w:pPr>
      <w:r w:rsidRPr="00317BAD">
        <w:rPr>
          <w:rFonts w:asciiTheme="majorBidi" w:hAnsiTheme="majorBidi" w:cs="Times New Roman"/>
          <w:b/>
          <w:bCs/>
          <w:sz w:val="24"/>
          <w:szCs w:val="24"/>
        </w:rPr>
        <w:t>Konsep NU Dalam Berdakwah</w:t>
      </w:r>
    </w:p>
    <w:p w14:paraId="2601AA63" w14:textId="77777777" w:rsidR="00754C61" w:rsidRPr="00317BAD" w:rsidRDefault="00754C61" w:rsidP="00754C61">
      <w:pPr>
        <w:pStyle w:val="ListParagraph"/>
        <w:spacing w:line="240" w:lineRule="auto"/>
        <w:ind w:left="426"/>
        <w:jc w:val="both"/>
        <w:rPr>
          <w:rFonts w:asciiTheme="majorBidi" w:hAnsiTheme="majorBidi" w:cs="Times New Roman"/>
          <w:b/>
          <w:bCs/>
          <w:sz w:val="24"/>
          <w:szCs w:val="24"/>
        </w:rPr>
      </w:pPr>
    </w:p>
    <w:p w14:paraId="28F24E24" w14:textId="77777777" w:rsidR="00754C61" w:rsidRDefault="00754C61" w:rsidP="00754C61">
      <w:pPr>
        <w:pStyle w:val="ListParagraph"/>
        <w:spacing w:line="480" w:lineRule="auto"/>
        <w:ind w:left="0" w:firstLine="720"/>
        <w:jc w:val="both"/>
        <w:rPr>
          <w:rFonts w:asciiTheme="majorBidi" w:hAnsiTheme="majorBidi" w:cs="Times New Roman"/>
          <w:sz w:val="24"/>
          <w:szCs w:val="24"/>
        </w:rPr>
      </w:pPr>
      <w:r>
        <w:rPr>
          <w:rFonts w:asciiTheme="majorBidi" w:hAnsiTheme="majorBidi" w:cs="Times New Roman"/>
          <w:sz w:val="24"/>
          <w:szCs w:val="24"/>
        </w:rPr>
        <w:t xml:space="preserve">Konsep NU dalam menjalankan misi dakwahnya di Indonesia yakni menggunakan prinsip-prinsip Aswaja, diantaranya tawasuth (moderat), tawazun (berimbang), tasamuh (toleran), dan I’tidal (adil). Dengan adanya prinsip-prinsip tersebut NU dengan mudah menyebarkan dakwahnya sehingga menjadikan </w:t>
      </w:r>
      <w:r>
        <w:rPr>
          <w:rFonts w:asciiTheme="majorBidi" w:hAnsiTheme="majorBidi" w:cs="Times New Roman"/>
          <w:sz w:val="24"/>
          <w:szCs w:val="24"/>
        </w:rPr>
        <w:lastRenderedPageBreak/>
        <w:t>pemahaman keagamaan yang toleran. Berikut konsep-konsep keagamaan NU antara lain.</w:t>
      </w:r>
      <w:r>
        <w:rPr>
          <w:rStyle w:val="FootnoteReference"/>
          <w:rFonts w:asciiTheme="majorBidi" w:hAnsiTheme="majorBidi"/>
          <w:sz w:val="24"/>
          <w:szCs w:val="24"/>
        </w:rPr>
        <w:footnoteReference w:id="8"/>
      </w:r>
    </w:p>
    <w:p w14:paraId="72AC7B10" w14:textId="77777777" w:rsidR="00754C61" w:rsidRDefault="00754C61" w:rsidP="00754C61">
      <w:pPr>
        <w:pStyle w:val="ListParagraph"/>
        <w:numPr>
          <w:ilvl w:val="0"/>
          <w:numId w:val="7"/>
        </w:numPr>
        <w:spacing w:line="240" w:lineRule="auto"/>
        <w:ind w:left="426"/>
        <w:jc w:val="both"/>
        <w:rPr>
          <w:rFonts w:asciiTheme="majorBidi" w:hAnsiTheme="majorBidi" w:cs="Times New Roman"/>
          <w:sz w:val="24"/>
          <w:szCs w:val="24"/>
        </w:rPr>
      </w:pPr>
      <w:r w:rsidRPr="0040769B">
        <w:rPr>
          <w:rFonts w:asciiTheme="majorBidi" w:hAnsiTheme="majorBidi" w:cs="Times New Roman"/>
          <w:sz w:val="24"/>
          <w:szCs w:val="24"/>
        </w:rPr>
        <w:t>Tawasu</w:t>
      </w:r>
      <w:r w:rsidRPr="0040769B">
        <w:rPr>
          <w:rFonts w:ascii="Times New Arabic" w:hAnsi="Times New Arabic" w:cs="Times New Roman"/>
          <w:sz w:val="24"/>
          <w:szCs w:val="24"/>
        </w:rPr>
        <w:t>t</w:t>
      </w:r>
      <w:r>
        <w:rPr>
          <w:rFonts w:ascii="Times New Arabic" w:hAnsi="Times New Arabic" w:cs="Times New Roman"/>
          <w:sz w:val="24"/>
          <w:szCs w:val="24"/>
        </w:rPr>
        <w:t>}</w:t>
      </w:r>
    </w:p>
    <w:p w14:paraId="5DFA19A9" w14:textId="77777777" w:rsidR="00754C61" w:rsidRPr="00525C7C" w:rsidRDefault="00754C61" w:rsidP="00754C61">
      <w:pPr>
        <w:spacing w:line="480" w:lineRule="auto"/>
        <w:ind w:left="66" w:firstLine="654"/>
        <w:jc w:val="both"/>
        <w:rPr>
          <w:rFonts w:asciiTheme="majorBidi" w:hAnsiTheme="majorBidi" w:cs="Times New Roman"/>
          <w:sz w:val="24"/>
          <w:szCs w:val="24"/>
        </w:rPr>
      </w:pPr>
      <w:r w:rsidRPr="00525C7C">
        <w:rPr>
          <w:rFonts w:asciiTheme="majorBidi" w:hAnsiTheme="majorBidi" w:cs="Times New Roman"/>
          <w:sz w:val="24"/>
          <w:szCs w:val="24"/>
        </w:rPr>
        <w:t>Tawasu</w:t>
      </w:r>
      <w:r>
        <w:rPr>
          <w:rFonts w:ascii="Times New Arabic" w:hAnsi="Times New Arabic" w:cs="Times New Roman"/>
          <w:sz w:val="24"/>
          <w:szCs w:val="24"/>
        </w:rPr>
        <w:t>t}</w:t>
      </w:r>
      <w:r w:rsidRPr="00525C7C">
        <w:rPr>
          <w:rFonts w:asciiTheme="majorBidi" w:hAnsiTheme="majorBidi" w:cs="Times New Roman"/>
          <w:sz w:val="24"/>
          <w:szCs w:val="24"/>
        </w:rPr>
        <w:t xml:space="preserve"> sendiri mempunyai arti pertengahan. Kata tawasu</w:t>
      </w:r>
      <w:r>
        <w:rPr>
          <w:rFonts w:ascii="Times New Arabic" w:hAnsi="Times New Arabic" w:cs="Times New Roman"/>
          <w:sz w:val="24"/>
          <w:szCs w:val="24"/>
        </w:rPr>
        <w:t>t}</w:t>
      </w:r>
      <w:r w:rsidRPr="00525C7C">
        <w:rPr>
          <w:rFonts w:asciiTheme="majorBidi" w:hAnsiTheme="majorBidi" w:cs="Times New Roman"/>
          <w:sz w:val="24"/>
          <w:szCs w:val="24"/>
        </w:rPr>
        <w:t xml:space="preserve"> bersaal dari kata </w:t>
      </w:r>
      <w:r w:rsidRPr="0040769B">
        <w:rPr>
          <w:rFonts w:ascii="Times New Arabic" w:hAnsi="Times New Arabic" w:cs="Times New Roman"/>
          <w:sz w:val="24"/>
          <w:szCs w:val="24"/>
        </w:rPr>
        <w:t>wasa</w:t>
      </w:r>
      <w:r>
        <w:rPr>
          <w:rFonts w:ascii="Times New Arabic" w:hAnsi="Times New Arabic" w:cs="Times New Roman"/>
          <w:sz w:val="24"/>
          <w:szCs w:val="24"/>
        </w:rPr>
        <w:t>t}</w:t>
      </w:r>
      <w:proofErr w:type="gramStart"/>
      <w:r w:rsidRPr="0040769B">
        <w:rPr>
          <w:rFonts w:ascii="Times New Arabic" w:hAnsi="Times New Arabic" w:cs="Times New Roman"/>
          <w:sz w:val="24"/>
          <w:szCs w:val="24"/>
        </w:rPr>
        <w:t>an</w:t>
      </w:r>
      <w:proofErr w:type="gramEnd"/>
      <w:r w:rsidRPr="00525C7C">
        <w:rPr>
          <w:rFonts w:asciiTheme="majorBidi" w:hAnsiTheme="majorBidi" w:cs="Times New Roman"/>
          <w:sz w:val="24"/>
          <w:szCs w:val="24"/>
        </w:rPr>
        <w:t xml:space="preserve"> yang berarti pertengahan. Maksudnya yakni menempatkan diri diantara dua kutub dalam berbagai permasalahan dan keadaan untuk mencapai kebenaran. Serta menghindari ekstrim kanan atau ekstrim kiri yang bertentangan dengan asas Aswaja. Dalam hal ini, paham Aswaja selalu mengedepankan tengah-tengah baik dibidang hukum, akidah, atau akhlak. Selain itu juga mengedepankan pada prinsip hidup menjunjung tinggi keharusan bersikap adil, lurus di tengah-tengah kehidupan bersama, sehingga dapat menghindari dari berbagai bentuk pendekatan ekstrim.</w:t>
      </w:r>
    </w:p>
    <w:p w14:paraId="5EB7442E" w14:textId="77777777" w:rsidR="00754C61" w:rsidRDefault="00754C61" w:rsidP="00754C61">
      <w:pPr>
        <w:pStyle w:val="ListParagraph"/>
        <w:spacing w:line="480" w:lineRule="auto"/>
        <w:ind w:left="0" w:firstLine="720"/>
        <w:jc w:val="both"/>
        <w:rPr>
          <w:rFonts w:asciiTheme="majorBidi" w:hAnsiTheme="majorBidi" w:cs="Times New Roman"/>
          <w:sz w:val="24"/>
          <w:szCs w:val="24"/>
        </w:rPr>
      </w:pPr>
      <w:r>
        <w:rPr>
          <w:rFonts w:asciiTheme="majorBidi" w:hAnsiTheme="majorBidi" w:cs="Times New Roman"/>
          <w:sz w:val="24"/>
          <w:szCs w:val="24"/>
        </w:rPr>
        <w:t>Ciri paling dasar Aswaja adalah tawasu</w:t>
      </w:r>
      <w:r>
        <w:rPr>
          <w:rFonts w:ascii="Times New Arabic" w:hAnsi="Times New Arabic" w:cs="Times New Roman"/>
          <w:sz w:val="24"/>
          <w:szCs w:val="24"/>
        </w:rPr>
        <w:t>t}</w:t>
      </w:r>
      <w:r>
        <w:rPr>
          <w:rFonts w:asciiTheme="majorBidi" w:hAnsiTheme="majorBidi" w:cs="Times New Roman"/>
          <w:sz w:val="24"/>
          <w:szCs w:val="24"/>
        </w:rPr>
        <w:t xml:space="preserve"> (moderat). Dengan sikap tawasu</w:t>
      </w:r>
      <w:r>
        <w:rPr>
          <w:rFonts w:ascii="Times New Arabic" w:hAnsi="Times New Arabic" w:cs="Times New Roman"/>
          <w:sz w:val="24"/>
          <w:szCs w:val="24"/>
        </w:rPr>
        <w:t>t}</w:t>
      </w:r>
      <w:r>
        <w:rPr>
          <w:rFonts w:asciiTheme="majorBidi" w:hAnsiTheme="majorBidi" w:cs="Times New Roman"/>
          <w:sz w:val="24"/>
          <w:szCs w:val="24"/>
        </w:rPr>
        <w:t xml:space="preserve"> ini mampu menjaga pengikut Aswaja dari prilaku keagamaan yang ekstrim. Selain itu, sikap tawasu</w:t>
      </w:r>
      <w:r>
        <w:rPr>
          <w:rFonts w:ascii="Times New Arabic" w:hAnsi="Times New Arabic" w:cs="Times New Roman"/>
          <w:sz w:val="24"/>
          <w:szCs w:val="24"/>
        </w:rPr>
        <w:t>t}</w:t>
      </w:r>
      <w:r>
        <w:rPr>
          <w:rFonts w:asciiTheme="majorBidi" w:hAnsiTheme="majorBidi" w:cs="Times New Roman"/>
          <w:sz w:val="24"/>
          <w:szCs w:val="24"/>
        </w:rPr>
        <w:t xml:space="preserve"> juga bisa melihat fenomena kehidupan secara proposional. karena kehidupan tidak bisa jauh dari budaya. Dengan begitu tujuan Aswaja adalah menyebarkan agama Islam dengan tidak menghapus nilai-nilai budaya. Faham Aswaja juga memandang dan memperlakukan budaya secara proposional, karena tentunya budaya memiliki nilai-nilai positif yang bisa dipertahankan bagi kehidupan manusia, baik secara personal maupaun sosial.</w:t>
      </w:r>
      <w:r>
        <w:rPr>
          <w:rStyle w:val="FootnoteReference"/>
          <w:rFonts w:asciiTheme="majorBidi" w:hAnsiTheme="majorBidi"/>
          <w:sz w:val="24"/>
          <w:szCs w:val="24"/>
        </w:rPr>
        <w:footnoteReference w:id="9"/>
      </w:r>
    </w:p>
    <w:p w14:paraId="37BF861B" w14:textId="77777777" w:rsidR="00754C61" w:rsidRDefault="00754C61" w:rsidP="00754C61">
      <w:pPr>
        <w:pStyle w:val="ListParagraph"/>
        <w:numPr>
          <w:ilvl w:val="0"/>
          <w:numId w:val="7"/>
        </w:numPr>
        <w:spacing w:line="240" w:lineRule="auto"/>
        <w:ind w:left="426"/>
        <w:jc w:val="both"/>
        <w:rPr>
          <w:rFonts w:asciiTheme="majorBidi" w:hAnsiTheme="majorBidi" w:cs="Times New Roman"/>
          <w:sz w:val="24"/>
          <w:szCs w:val="24"/>
        </w:rPr>
      </w:pPr>
      <w:r>
        <w:rPr>
          <w:rFonts w:asciiTheme="majorBidi" w:hAnsiTheme="majorBidi" w:cs="Times New Roman"/>
          <w:sz w:val="24"/>
          <w:szCs w:val="24"/>
        </w:rPr>
        <w:lastRenderedPageBreak/>
        <w:t>Tawazun</w:t>
      </w:r>
    </w:p>
    <w:p w14:paraId="49889B24" w14:textId="77777777" w:rsidR="00754C61" w:rsidRDefault="00754C61" w:rsidP="00754C61">
      <w:pPr>
        <w:spacing w:line="480" w:lineRule="auto"/>
        <w:ind w:left="66" w:firstLine="654"/>
        <w:jc w:val="both"/>
        <w:rPr>
          <w:rFonts w:asciiTheme="majorBidi" w:hAnsiTheme="majorBidi" w:cs="Times New Roman"/>
          <w:sz w:val="24"/>
          <w:szCs w:val="24"/>
        </w:rPr>
      </w:pPr>
      <w:r>
        <w:rPr>
          <w:rFonts w:asciiTheme="majorBidi" w:hAnsiTheme="majorBidi" w:cs="Times New Roman"/>
          <w:sz w:val="24"/>
          <w:szCs w:val="24"/>
        </w:rPr>
        <w:t>Tawazun memiliki arti seimbang. Sebagai prinsip Aswaja, tawazun berarti sikap yang berimbang dalam melakukan pertimbangan hukum atau kebijakan. Dalam menyikapi berbagai persoalan, disikapi dengan pola yang terukur, terkonsep, sehingga terpelihara secara seimbang antara persoalan dunia dan persoalan akhirat, kepentingan pribadi dan kepentingan umum, dan kepentingan masa kini dan masa datang.</w:t>
      </w:r>
      <w:r>
        <w:rPr>
          <w:rStyle w:val="FootnoteReference"/>
          <w:rFonts w:asciiTheme="majorBidi" w:hAnsiTheme="majorBidi"/>
          <w:sz w:val="24"/>
          <w:szCs w:val="24"/>
        </w:rPr>
        <w:footnoteReference w:id="10"/>
      </w:r>
    </w:p>
    <w:p w14:paraId="18B48C0C" w14:textId="77777777" w:rsidR="00754C61" w:rsidRDefault="00754C61" w:rsidP="00754C61">
      <w:pPr>
        <w:spacing w:line="480" w:lineRule="auto"/>
        <w:ind w:left="66" w:firstLine="654"/>
        <w:jc w:val="both"/>
        <w:rPr>
          <w:rFonts w:asciiTheme="majorBidi" w:hAnsiTheme="majorBidi" w:cs="Times New Roman"/>
          <w:sz w:val="24"/>
          <w:szCs w:val="24"/>
        </w:rPr>
      </w:pPr>
      <w:r>
        <w:rPr>
          <w:rFonts w:asciiTheme="majorBidi" w:hAnsiTheme="majorBidi" w:cs="Times New Roman"/>
          <w:sz w:val="24"/>
          <w:szCs w:val="24"/>
        </w:rPr>
        <w:t>Dalam artikel lain juga disebutkan bahwa tawazun diambil dari kata al-Waznu atau al-Mizan yang memiliki arti alat penyeimbang. sikap tawazun yakni sikap seimbang dalam berkhidmah, menyerasikan kepada Allah, Khidmah kepada sesame dan kepada lingkungan. Hal tersebut berarti sikap yang bisa menyeimbangkan antara kepentingan sekarang dengan kepentingan masa depan, tidak berlebihan atau kekurangan, dan tidak berat sebelah.</w:t>
      </w:r>
      <w:r>
        <w:rPr>
          <w:rStyle w:val="FootnoteReference"/>
          <w:rFonts w:asciiTheme="majorBidi" w:hAnsiTheme="majorBidi"/>
          <w:sz w:val="24"/>
          <w:szCs w:val="24"/>
        </w:rPr>
        <w:footnoteReference w:id="11"/>
      </w:r>
    </w:p>
    <w:p w14:paraId="616D6546" w14:textId="77777777" w:rsidR="00754C61" w:rsidRDefault="00754C61" w:rsidP="00754C61">
      <w:pPr>
        <w:pStyle w:val="ListParagraph"/>
        <w:numPr>
          <w:ilvl w:val="0"/>
          <w:numId w:val="7"/>
        </w:numPr>
        <w:spacing w:line="240" w:lineRule="auto"/>
        <w:ind w:left="426"/>
        <w:jc w:val="both"/>
        <w:rPr>
          <w:rFonts w:asciiTheme="majorBidi" w:hAnsiTheme="majorBidi" w:cs="Times New Roman"/>
          <w:sz w:val="24"/>
          <w:szCs w:val="24"/>
        </w:rPr>
      </w:pPr>
      <w:r>
        <w:rPr>
          <w:rFonts w:asciiTheme="majorBidi" w:hAnsiTheme="majorBidi" w:cs="Times New Roman"/>
          <w:sz w:val="24"/>
          <w:szCs w:val="24"/>
        </w:rPr>
        <w:t>Tasamuh</w:t>
      </w:r>
    </w:p>
    <w:p w14:paraId="3CD3221F" w14:textId="77777777" w:rsidR="00754C61" w:rsidRDefault="00754C61" w:rsidP="00754C61">
      <w:pPr>
        <w:pStyle w:val="ListParagraph"/>
        <w:spacing w:line="240" w:lineRule="auto"/>
        <w:ind w:left="426"/>
        <w:jc w:val="both"/>
        <w:rPr>
          <w:rFonts w:asciiTheme="majorBidi" w:hAnsiTheme="majorBidi" w:cs="Times New Roman"/>
          <w:sz w:val="24"/>
          <w:szCs w:val="24"/>
        </w:rPr>
      </w:pPr>
    </w:p>
    <w:p w14:paraId="0AD0C420" w14:textId="77777777" w:rsidR="00754C61" w:rsidRDefault="00754C61" w:rsidP="00754C61">
      <w:pPr>
        <w:pStyle w:val="ListParagraph"/>
        <w:spacing w:line="480" w:lineRule="auto"/>
        <w:ind w:left="0" w:firstLine="720"/>
        <w:jc w:val="both"/>
        <w:rPr>
          <w:rFonts w:asciiTheme="majorBidi" w:hAnsiTheme="majorBidi" w:cs="Times New Roman"/>
          <w:sz w:val="24"/>
          <w:szCs w:val="24"/>
        </w:rPr>
      </w:pPr>
      <w:r>
        <w:rPr>
          <w:rFonts w:asciiTheme="majorBidi" w:hAnsiTheme="majorBidi" w:cs="Times New Roman"/>
          <w:sz w:val="24"/>
          <w:szCs w:val="24"/>
        </w:rPr>
        <w:t xml:space="preserve">Tasamuh berasal dari kata samhan yang memiliki arti kemudaham atau memudahkan. Tasamuh memiliki arti toleransi. Aswaja memiliki sikap tasamuh atau toleransi dalam hal perbedaan pendapat, perbedaan keyakinan, sosial kemasyarakatan, </w:t>
      </w:r>
      <w:proofErr w:type="gramStart"/>
      <w:r>
        <w:rPr>
          <w:rFonts w:asciiTheme="majorBidi" w:hAnsiTheme="majorBidi" w:cs="Times New Roman"/>
          <w:sz w:val="24"/>
          <w:szCs w:val="24"/>
        </w:rPr>
        <w:t>budaya ,</w:t>
      </w:r>
      <w:proofErr w:type="gramEnd"/>
      <w:r>
        <w:rPr>
          <w:rFonts w:asciiTheme="majorBidi" w:hAnsiTheme="majorBidi" w:cs="Times New Roman"/>
          <w:sz w:val="24"/>
          <w:szCs w:val="24"/>
        </w:rPr>
        <w:t xml:space="preserve"> dan perbedaan lainnya. Sikap tasamuh ini dapat </w:t>
      </w:r>
      <w:r>
        <w:rPr>
          <w:rFonts w:asciiTheme="majorBidi" w:hAnsiTheme="majorBidi" w:cs="Times New Roman"/>
          <w:sz w:val="24"/>
          <w:szCs w:val="24"/>
        </w:rPr>
        <w:lastRenderedPageBreak/>
        <w:t>diterapkan baik kepada sesame muslim maupun non muslim. Hal tersebut memunculkan istilah persaudaraan (ukhwah) dalam Aswaja.</w:t>
      </w:r>
      <w:r>
        <w:rPr>
          <w:rStyle w:val="FootnoteReference"/>
          <w:rFonts w:asciiTheme="majorBidi" w:hAnsiTheme="majorBidi"/>
          <w:sz w:val="24"/>
          <w:szCs w:val="24"/>
        </w:rPr>
        <w:footnoteReference w:id="12"/>
      </w:r>
    </w:p>
    <w:p w14:paraId="0600B055" w14:textId="77777777" w:rsidR="00754C61" w:rsidRDefault="00754C61" w:rsidP="00754C61">
      <w:pPr>
        <w:pStyle w:val="ListParagraph"/>
        <w:spacing w:line="480" w:lineRule="auto"/>
        <w:ind w:left="0" w:firstLine="720"/>
        <w:jc w:val="both"/>
        <w:rPr>
          <w:rFonts w:asciiTheme="majorBidi" w:hAnsiTheme="majorBidi" w:cs="Times New Roman"/>
          <w:sz w:val="24"/>
          <w:szCs w:val="24"/>
        </w:rPr>
      </w:pPr>
      <w:r>
        <w:rPr>
          <w:rFonts w:asciiTheme="majorBidi" w:hAnsiTheme="majorBidi" w:cs="Times New Roman"/>
          <w:sz w:val="24"/>
          <w:szCs w:val="24"/>
        </w:rPr>
        <w:t>Tasamuh berarti menjunjung tinggi perbedaan dengan kesediaan menerima kebenaran dan kebaikan yang berasal dari pihak lain. Sikap tasamuh berarti memberikan ruang atau kesempatan kepada orang lain tanpa membeda-bedakan latar belakang apapun. Pertimbangannya hanyalah murni karena integritas, kualitas, dan kemampuan pribadi. Sikap ini juga tidak memandang seseorang baik dari keyakinan, budaya, ekonomi, sosial, dan lain sebagainya.</w:t>
      </w:r>
      <w:r>
        <w:rPr>
          <w:rStyle w:val="FootnoteReference"/>
          <w:rFonts w:asciiTheme="majorBidi" w:hAnsiTheme="majorBidi"/>
          <w:sz w:val="24"/>
          <w:szCs w:val="24"/>
        </w:rPr>
        <w:footnoteReference w:id="13"/>
      </w:r>
    </w:p>
    <w:p w14:paraId="637962E6" w14:textId="77777777" w:rsidR="00754C61" w:rsidRDefault="00754C61" w:rsidP="00754C61">
      <w:pPr>
        <w:pStyle w:val="ListParagraph"/>
        <w:numPr>
          <w:ilvl w:val="0"/>
          <w:numId w:val="7"/>
        </w:numPr>
        <w:spacing w:line="240" w:lineRule="auto"/>
        <w:ind w:left="426"/>
        <w:jc w:val="both"/>
        <w:rPr>
          <w:rFonts w:asciiTheme="majorBidi" w:hAnsiTheme="majorBidi" w:cs="Times New Roman"/>
          <w:sz w:val="24"/>
          <w:szCs w:val="24"/>
        </w:rPr>
      </w:pPr>
      <w:r>
        <w:rPr>
          <w:rFonts w:asciiTheme="majorBidi" w:hAnsiTheme="majorBidi" w:cs="Times New Roman"/>
          <w:sz w:val="24"/>
          <w:szCs w:val="24"/>
        </w:rPr>
        <w:t>I’tidal</w:t>
      </w:r>
    </w:p>
    <w:p w14:paraId="42D41055" w14:textId="77777777" w:rsidR="00754C61" w:rsidRDefault="00754C61" w:rsidP="00754C61">
      <w:pPr>
        <w:pStyle w:val="ListParagraph"/>
        <w:spacing w:line="240" w:lineRule="auto"/>
        <w:ind w:left="426"/>
        <w:jc w:val="both"/>
        <w:rPr>
          <w:rFonts w:asciiTheme="majorBidi" w:hAnsiTheme="majorBidi" w:cs="Times New Roman"/>
          <w:sz w:val="24"/>
          <w:szCs w:val="24"/>
        </w:rPr>
      </w:pPr>
    </w:p>
    <w:p w14:paraId="5C83739B" w14:textId="77777777" w:rsidR="00754C61" w:rsidRDefault="00754C61" w:rsidP="00754C61">
      <w:pPr>
        <w:pStyle w:val="ListParagraph"/>
        <w:spacing w:line="480" w:lineRule="auto"/>
        <w:ind w:left="0" w:firstLine="720"/>
        <w:jc w:val="both"/>
        <w:rPr>
          <w:rFonts w:asciiTheme="majorBidi" w:hAnsiTheme="majorBidi" w:cs="Times New Roman"/>
          <w:sz w:val="24"/>
          <w:szCs w:val="24"/>
        </w:rPr>
      </w:pPr>
      <w:r>
        <w:rPr>
          <w:rFonts w:asciiTheme="majorBidi" w:hAnsiTheme="majorBidi" w:cs="Times New Roman"/>
          <w:sz w:val="24"/>
          <w:szCs w:val="24"/>
        </w:rPr>
        <w:t>I’tidal merupakan bersikap adil atau tegak lurus. Dalam menyikapi sesuatu persoalan berdasarkan hak dan kewajiban. Ketika menghadapi persoalan, seseorang dituntut untuk bersikap adil. Berari mengutarakan yang benar dan yang salah, walaupun terhadap seseorang yang mungkin pangkatnya lebih tinggi, atau berbeda agama, suku dan budaya.</w:t>
      </w:r>
      <w:r>
        <w:rPr>
          <w:rStyle w:val="FootnoteReference"/>
          <w:rFonts w:asciiTheme="majorBidi" w:hAnsiTheme="majorBidi"/>
          <w:sz w:val="24"/>
          <w:szCs w:val="24"/>
        </w:rPr>
        <w:footnoteReference w:id="14"/>
      </w:r>
    </w:p>
    <w:p w14:paraId="39F6DC46" w14:textId="77777777" w:rsidR="00754C61" w:rsidRPr="005F3D28" w:rsidRDefault="00754C61" w:rsidP="00754C61">
      <w:pPr>
        <w:pStyle w:val="ListParagraph"/>
        <w:spacing w:line="240" w:lineRule="auto"/>
        <w:ind w:left="0"/>
        <w:jc w:val="both"/>
        <w:rPr>
          <w:rFonts w:asciiTheme="majorBidi" w:hAnsiTheme="majorBidi" w:cs="Times New Roman"/>
          <w:sz w:val="24"/>
          <w:szCs w:val="24"/>
        </w:rPr>
      </w:pPr>
    </w:p>
    <w:p w14:paraId="4E6D3089" w14:textId="77777777" w:rsidR="00754C61" w:rsidRPr="00317BAD" w:rsidRDefault="00754C61" w:rsidP="00754C61">
      <w:pPr>
        <w:pStyle w:val="ListParagraph"/>
        <w:numPr>
          <w:ilvl w:val="0"/>
          <w:numId w:val="6"/>
        </w:numPr>
        <w:spacing w:line="480" w:lineRule="auto"/>
        <w:ind w:left="426"/>
        <w:jc w:val="both"/>
        <w:rPr>
          <w:rFonts w:asciiTheme="majorBidi" w:hAnsiTheme="majorBidi" w:cs="Times New Roman"/>
          <w:b/>
          <w:bCs/>
          <w:sz w:val="24"/>
          <w:szCs w:val="24"/>
        </w:rPr>
      </w:pPr>
      <w:r w:rsidRPr="00317BAD">
        <w:rPr>
          <w:rFonts w:asciiTheme="majorBidi" w:hAnsiTheme="majorBidi" w:cs="Times New Roman"/>
          <w:b/>
          <w:bCs/>
          <w:sz w:val="24"/>
          <w:szCs w:val="24"/>
        </w:rPr>
        <w:t>Amaliah-Amaliah Nahdhatul Ulama (NU)</w:t>
      </w:r>
    </w:p>
    <w:p w14:paraId="4DEBE012" w14:textId="77777777" w:rsidR="00754C61" w:rsidRDefault="00754C61" w:rsidP="00754C61">
      <w:pPr>
        <w:pStyle w:val="ListParagraph"/>
        <w:spacing w:line="480" w:lineRule="auto"/>
        <w:ind w:left="0" w:firstLine="720"/>
        <w:jc w:val="both"/>
        <w:rPr>
          <w:rFonts w:asciiTheme="majorBidi" w:hAnsiTheme="majorBidi" w:cs="Times New Roman"/>
          <w:sz w:val="24"/>
          <w:szCs w:val="24"/>
        </w:rPr>
      </w:pPr>
      <w:r>
        <w:rPr>
          <w:rFonts w:asciiTheme="majorBidi" w:hAnsiTheme="majorBidi" w:cs="Times New Roman"/>
          <w:sz w:val="24"/>
          <w:szCs w:val="24"/>
        </w:rPr>
        <w:t>Dalam KBBI amaliah berarti sesuatu yang mengandung amal.</w:t>
      </w:r>
      <w:r>
        <w:rPr>
          <w:rStyle w:val="FootnoteReference"/>
          <w:rFonts w:asciiTheme="majorBidi" w:hAnsiTheme="majorBidi"/>
          <w:sz w:val="24"/>
          <w:szCs w:val="24"/>
        </w:rPr>
        <w:footnoteReference w:id="15"/>
      </w:r>
      <w:r>
        <w:rPr>
          <w:rFonts w:asciiTheme="majorBidi" w:hAnsiTheme="majorBidi" w:cs="Times New Roman"/>
          <w:sz w:val="24"/>
          <w:szCs w:val="24"/>
        </w:rPr>
        <w:t xml:space="preserve"> Amaliah merupakan suatu bentuk pekerjaan yang mengahsilkan pahala. Amaliah-amaliah NU berarti suatu bentuk tradisi atau kebiasaan yang dianjurkan oleh paham </w:t>
      </w:r>
      <w:r>
        <w:rPr>
          <w:rFonts w:asciiTheme="majorBidi" w:hAnsiTheme="majorBidi" w:cs="Times New Roman"/>
          <w:sz w:val="24"/>
          <w:szCs w:val="24"/>
        </w:rPr>
        <w:lastRenderedPageBreak/>
        <w:t xml:space="preserve">Aswaja.NU adalah organisasi yang dilahirkan di tanah jawa, yang mana masyarakat jawa sendiri memiliki berbagai macam tradisi dan budaya. Demi mewujudkan dakwahnya, NU menggunakan atau meniru strategi dakwah yang dilakukan oleh Walisongo dalam menyebarkan agama Islam di tanah jawa.  Dengan begitu, beberapa tradisi seperti tahlilan, sholawatan, yasinan, istighotsahan, manaqiban, hingga tradisi berbau budaya seperti ziaroh kubur, peringatan hari besar Islam dijadikan suatu kebutuhan bagi pengikut NU. </w:t>
      </w:r>
      <w:r>
        <w:rPr>
          <w:rStyle w:val="FootnoteReference"/>
          <w:rFonts w:asciiTheme="majorBidi" w:hAnsiTheme="majorBidi"/>
          <w:sz w:val="24"/>
          <w:szCs w:val="24"/>
        </w:rPr>
        <w:footnoteReference w:id="16"/>
      </w:r>
    </w:p>
    <w:p w14:paraId="6CFFE662" w14:textId="77777777" w:rsidR="00754C61" w:rsidRDefault="00754C61" w:rsidP="00754C61">
      <w:pPr>
        <w:spacing w:line="480" w:lineRule="auto"/>
        <w:jc w:val="both"/>
        <w:rPr>
          <w:rFonts w:asciiTheme="majorBidi" w:hAnsiTheme="majorBidi" w:cs="Times New Roman"/>
          <w:sz w:val="24"/>
          <w:szCs w:val="24"/>
        </w:rPr>
      </w:pPr>
      <w:r>
        <w:rPr>
          <w:rFonts w:asciiTheme="majorBidi" w:hAnsiTheme="majorBidi" w:cs="Times New Roman"/>
          <w:sz w:val="24"/>
          <w:szCs w:val="24"/>
        </w:rPr>
        <w:t>Diantara praktik amaliah Ahlussunnah wal Jama’ah adalah:</w:t>
      </w:r>
      <w:r>
        <w:rPr>
          <w:rStyle w:val="FootnoteReference"/>
          <w:rFonts w:asciiTheme="majorBidi" w:hAnsiTheme="majorBidi"/>
          <w:sz w:val="24"/>
          <w:szCs w:val="24"/>
        </w:rPr>
        <w:footnoteReference w:id="17"/>
      </w:r>
    </w:p>
    <w:p w14:paraId="30362142" w14:textId="77777777" w:rsidR="00754C61" w:rsidRDefault="00754C61" w:rsidP="00754C61">
      <w:pPr>
        <w:pStyle w:val="ListParagraph"/>
        <w:numPr>
          <w:ilvl w:val="0"/>
          <w:numId w:val="2"/>
        </w:numPr>
        <w:spacing w:line="480" w:lineRule="auto"/>
        <w:ind w:left="426"/>
        <w:jc w:val="both"/>
        <w:rPr>
          <w:rFonts w:asciiTheme="majorBidi" w:hAnsiTheme="majorBidi" w:cs="Times New Roman"/>
          <w:sz w:val="24"/>
          <w:szCs w:val="24"/>
        </w:rPr>
      </w:pPr>
      <w:r>
        <w:rPr>
          <w:rFonts w:asciiTheme="majorBidi" w:hAnsiTheme="majorBidi" w:cs="Times New Roman"/>
          <w:sz w:val="24"/>
          <w:szCs w:val="24"/>
        </w:rPr>
        <w:t>Mempelajari Al-Qur’an dan mengajarkannya</w:t>
      </w:r>
    </w:p>
    <w:p w14:paraId="27A6AAEF" w14:textId="77777777" w:rsidR="00754C61" w:rsidRDefault="00754C61" w:rsidP="00754C61">
      <w:pPr>
        <w:pStyle w:val="ListParagraph"/>
        <w:numPr>
          <w:ilvl w:val="0"/>
          <w:numId w:val="2"/>
        </w:numPr>
        <w:spacing w:line="480" w:lineRule="auto"/>
        <w:ind w:left="426"/>
        <w:jc w:val="both"/>
        <w:rPr>
          <w:rFonts w:asciiTheme="majorBidi" w:hAnsiTheme="majorBidi" w:cs="Times New Roman"/>
          <w:sz w:val="24"/>
          <w:szCs w:val="24"/>
        </w:rPr>
      </w:pPr>
      <w:r>
        <w:rPr>
          <w:rFonts w:asciiTheme="majorBidi" w:hAnsiTheme="majorBidi" w:cs="Times New Roman"/>
          <w:sz w:val="24"/>
          <w:szCs w:val="24"/>
        </w:rPr>
        <w:t>Bershalawat (dziba’an, barzanji) dan penyebutan “Sayyidina” kepada Nabi Muhammad SAW.</w:t>
      </w:r>
    </w:p>
    <w:p w14:paraId="3FF85104" w14:textId="77777777" w:rsidR="00754C61" w:rsidRDefault="00754C61" w:rsidP="00754C61">
      <w:pPr>
        <w:pStyle w:val="ListParagraph"/>
        <w:numPr>
          <w:ilvl w:val="0"/>
          <w:numId w:val="2"/>
        </w:numPr>
        <w:spacing w:line="480" w:lineRule="auto"/>
        <w:ind w:left="426"/>
        <w:jc w:val="both"/>
        <w:rPr>
          <w:rFonts w:asciiTheme="majorBidi" w:hAnsiTheme="majorBidi" w:cs="Times New Roman"/>
          <w:sz w:val="24"/>
          <w:szCs w:val="24"/>
        </w:rPr>
      </w:pPr>
      <w:r>
        <w:rPr>
          <w:rFonts w:asciiTheme="majorBidi" w:hAnsiTheme="majorBidi" w:cs="Times New Roman"/>
          <w:sz w:val="24"/>
          <w:szCs w:val="24"/>
        </w:rPr>
        <w:t>Penghormatan kepada para sahabat, wali, dan ulama.</w:t>
      </w:r>
    </w:p>
    <w:p w14:paraId="3448D727" w14:textId="77777777" w:rsidR="00754C61" w:rsidRDefault="00754C61" w:rsidP="00754C61">
      <w:pPr>
        <w:pStyle w:val="ListParagraph"/>
        <w:numPr>
          <w:ilvl w:val="0"/>
          <w:numId w:val="2"/>
        </w:numPr>
        <w:spacing w:line="480" w:lineRule="auto"/>
        <w:ind w:left="426"/>
        <w:jc w:val="both"/>
        <w:rPr>
          <w:rFonts w:asciiTheme="majorBidi" w:hAnsiTheme="majorBidi" w:cs="Times New Roman"/>
          <w:sz w:val="24"/>
          <w:szCs w:val="24"/>
        </w:rPr>
      </w:pPr>
      <w:r>
        <w:rPr>
          <w:rFonts w:asciiTheme="majorBidi" w:hAnsiTheme="majorBidi" w:cs="Times New Roman"/>
          <w:sz w:val="24"/>
          <w:szCs w:val="24"/>
        </w:rPr>
        <w:t>Melafadzkan niat sebelum sholat.</w:t>
      </w:r>
    </w:p>
    <w:p w14:paraId="6972BEB2" w14:textId="77777777" w:rsidR="00754C61" w:rsidRDefault="00754C61" w:rsidP="00754C61">
      <w:pPr>
        <w:pStyle w:val="ListParagraph"/>
        <w:numPr>
          <w:ilvl w:val="0"/>
          <w:numId w:val="2"/>
        </w:numPr>
        <w:spacing w:line="480" w:lineRule="auto"/>
        <w:ind w:left="426"/>
        <w:jc w:val="both"/>
        <w:rPr>
          <w:rFonts w:asciiTheme="majorBidi" w:hAnsiTheme="majorBidi" w:cs="Times New Roman"/>
          <w:sz w:val="24"/>
          <w:szCs w:val="24"/>
        </w:rPr>
      </w:pPr>
      <w:r>
        <w:rPr>
          <w:rFonts w:asciiTheme="majorBidi" w:hAnsiTheme="majorBidi" w:cs="Times New Roman"/>
          <w:sz w:val="24"/>
          <w:szCs w:val="24"/>
        </w:rPr>
        <w:t>Do’a qunut dalam shalat subuh.</w:t>
      </w:r>
    </w:p>
    <w:p w14:paraId="720A9019" w14:textId="77777777" w:rsidR="00754C61" w:rsidRDefault="00754C61" w:rsidP="00754C61">
      <w:pPr>
        <w:pStyle w:val="ListParagraph"/>
        <w:numPr>
          <w:ilvl w:val="0"/>
          <w:numId w:val="2"/>
        </w:numPr>
        <w:spacing w:line="480" w:lineRule="auto"/>
        <w:ind w:left="426"/>
        <w:jc w:val="both"/>
        <w:rPr>
          <w:rFonts w:asciiTheme="majorBidi" w:hAnsiTheme="majorBidi" w:cs="Times New Roman"/>
          <w:sz w:val="24"/>
          <w:szCs w:val="24"/>
        </w:rPr>
      </w:pPr>
      <w:r>
        <w:rPr>
          <w:rFonts w:asciiTheme="majorBidi" w:hAnsiTheme="majorBidi" w:cs="Times New Roman"/>
          <w:sz w:val="24"/>
          <w:szCs w:val="24"/>
        </w:rPr>
        <w:t>Melakukan talqinul mayit.</w:t>
      </w:r>
    </w:p>
    <w:p w14:paraId="1A46FC55" w14:textId="77777777" w:rsidR="00754C61" w:rsidRDefault="00754C61" w:rsidP="00754C61">
      <w:pPr>
        <w:pStyle w:val="ListParagraph"/>
        <w:numPr>
          <w:ilvl w:val="0"/>
          <w:numId w:val="2"/>
        </w:numPr>
        <w:spacing w:line="480" w:lineRule="auto"/>
        <w:ind w:left="426"/>
        <w:jc w:val="both"/>
        <w:rPr>
          <w:rFonts w:asciiTheme="majorBidi" w:hAnsiTheme="majorBidi" w:cs="Times New Roman"/>
          <w:sz w:val="24"/>
          <w:szCs w:val="24"/>
        </w:rPr>
      </w:pPr>
      <w:r>
        <w:rPr>
          <w:rFonts w:asciiTheme="majorBidi" w:hAnsiTheme="majorBidi" w:cs="Times New Roman"/>
          <w:sz w:val="24"/>
          <w:szCs w:val="24"/>
        </w:rPr>
        <w:t>Adzan dua kali pada saat shalat jum’at.</w:t>
      </w:r>
    </w:p>
    <w:p w14:paraId="304AF610" w14:textId="77777777" w:rsidR="00754C61" w:rsidRDefault="00754C61" w:rsidP="00754C61">
      <w:pPr>
        <w:pStyle w:val="ListParagraph"/>
        <w:numPr>
          <w:ilvl w:val="0"/>
          <w:numId w:val="2"/>
        </w:numPr>
        <w:spacing w:line="480" w:lineRule="auto"/>
        <w:ind w:left="426"/>
        <w:jc w:val="both"/>
        <w:rPr>
          <w:rFonts w:asciiTheme="majorBidi" w:hAnsiTheme="majorBidi" w:cs="Times New Roman"/>
          <w:sz w:val="24"/>
          <w:szCs w:val="24"/>
        </w:rPr>
      </w:pPr>
      <w:r>
        <w:rPr>
          <w:rFonts w:asciiTheme="majorBidi" w:hAnsiTheme="majorBidi" w:cs="Times New Roman"/>
          <w:sz w:val="24"/>
          <w:szCs w:val="24"/>
        </w:rPr>
        <w:t>Ziarah kubur.</w:t>
      </w:r>
    </w:p>
    <w:p w14:paraId="46CE8B98" w14:textId="77777777" w:rsidR="00754C61" w:rsidRDefault="00754C61" w:rsidP="00754C61">
      <w:pPr>
        <w:pStyle w:val="ListParagraph"/>
        <w:numPr>
          <w:ilvl w:val="0"/>
          <w:numId w:val="2"/>
        </w:numPr>
        <w:spacing w:line="480" w:lineRule="auto"/>
        <w:ind w:left="426"/>
        <w:jc w:val="both"/>
        <w:rPr>
          <w:rFonts w:asciiTheme="majorBidi" w:hAnsiTheme="majorBidi" w:cs="Times New Roman"/>
          <w:sz w:val="24"/>
          <w:szCs w:val="24"/>
        </w:rPr>
      </w:pPr>
      <w:r>
        <w:rPr>
          <w:rFonts w:asciiTheme="majorBidi" w:hAnsiTheme="majorBidi" w:cs="Times New Roman"/>
          <w:sz w:val="24"/>
          <w:szCs w:val="24"/>
        </w:rPr>
        <w:t>Penentuan awal Ramadhan dan 1 Syawal dengan ru’yah.</w:t>
      </w:r>
    </w:p>
    <w:p w14:paraId="7CCE2081" w14:textId="77777777" w:rsidR="00754C61" w:rsidRDefault="00754C61" w:rsidP="00754C61">
      <w:pPr>
        <w:pStyle w:val="ListParagraph"/>
        <w:numPr>
          <w:ilvl w:val="0"/>
          <w:numId w:val="2"/>
        </w:numPr>
        <w:spacing w:line="480" w:lineRule="auto"/>
        <w:ind w:left="426"/>
        <w:jc w:val="both"/>
        <w:rPr>
          <w:rFonts w:asciiTheme="majorBidi" w:hAnsiTheme="majorBidi" w:cs="Times New Roman"/>
          <w:sz w:val="24"/>
          <w:szCs w:val="24"/>
        </w:rPr>
      </w:pPr>
      <w:r>
        <w:rPr>
          <w:rFonts w:asciiTheme="majorBidi" w:hAnsiTheme="majorBidi" w:cs="Times New Roman"/>
          <w:sz w:val="24"/>
          <w:szCs w:val="24"/>
        </w:rPr>
        <w:t xml:space="preserve"> Tradisi tarhiman di bulan Ramadhan.</w:t>
      </w:r>
    </w:p>
    <w:p w14:paraId="0AC1F059" w14:textId="77777777" w:rsidR="00754C61" w:rsidRDefault="00754C61" w:rsidP="00754C61">
      <w:pPr>
        <w:pStyle w:val="ListParagraph"/>
        <w:spacing w:line="240" w:lineRule="auto"/>
        <w:ind w:left="426"/>
        <w:jc w:val="both"/>
        <w:rPr>
          <w:rFonts w:asciiTheme="majorBidi" w:hAnsiTheme="majorBidi" w:cs="Times New Roman"/>
          <w:sz w:val="24"/>
          <w:szCs w:val="24"/>
        </w:rPr>
      </w:pPr>
    </w:p>
    <w:p w14:paraId="4D2E46FF" w14:textId="77777777" w:rsidR="00754C61" w:rsidRPr="00EF66B8" w:rsidRDefault="00754C61" w:rsidP="00754C61">
      <w:pPr>
        <w:pStyle w:val="ListParagraph"/>
        <w:numPr>
          <w:ilvl w:val="0"/>
          <w:numId w:val="1"/>
        </w:numPr>
        <w:spacing w:line="480" w:lineRule="auto"/>
        <w:ind w:left="0" w:hanging="284"/>
        <w:jc w:val="both"/>
        <w:rPr>
          <w:rFonts w:asciiTheme="majorBidi" w:hAnsiTheme="majorBidi" w:cs="Times New Roman"/>
          <w:b/>
          <w:bCs/>
          <w:sz w:val="24"/>
          <w:szCs w:val="24"/>
        </w:rPr>
      </w:pPr>
      <w:r>
        <w:rPr>
          <w:rFonts w:asciiTheme="majorBidi" w:hAnsiTheme="majorBidi" w:cs="Times New Roman"/>
          <w:b/>
          <w:bCs/>
          <w:sz w:val="24"/>
          <w:szCs w:val="24"/>
        </w:rPr>
        <w:lastRenderedPageBreak/>
        <w:t>F</w:t>
      </w:r>
      <w:r w:rsidRPr="00EF66B8">
        <w:rPr>
          <w:rFonts w:asciiTheme="majorBidi" w:hAnsiTheme="majorBidi" w:cs="Times New Roman"/>
          <w:b/>
          <w:bCs/>
          <w:sz w:val="24"/>
          <w:szCs w:val="24"/>
        </w:rPr>
        <w:t>aham Radikalisme</w:t>
      </w:r>
    </w:p>
    <w:p w14:paraId="0366751D" w14:textId="77777777" w:rsidR="00754C61" w:rsidRPr="00317BAD" w:rsidRDefault="00754C61" w:rsidP="00754C61">
      <w:pPr>
        <w:pStyle w:val="ListParagraph"/>
        <w:numPr>
          <w:ilvl w:val="0"/>
          <w:numId w:val="3"/>
        </w:numPr>
        <w:spacing w:line="240" w:lineRule="auto"/>
        <w:ind w:left="426"/>
        <w:jc w:val="both"/>
        <w:rPr>
          <w:rFonts w:asciiTheme="majorBidi" w:hAnsiTheme="majorBidi" w:cs="Times New Roman"/>
          <w:b/>
          <w:bCs/>
          <w:sz w:val="24"/>
          <w:szCs w:val="24"/>
        </w:rPr>
      </w:pPr>
      <w:r w:rsidRPr="00317BAD">
        <w:rPr>
          <w:rFonts w:asciiTheme="majorBidi" w:hAnsiTheme="majorBidi" w:cs="Times New Roman"/>
          <w:b/>
          <w:bCs/>
          <w:sz w:val="24"/>
          <w:szCs w:val="24"/>
        </w:rPr>
        <w:t>Pengertian Radikalisme</w:t>
      </w:r>
    </w:p>
    <w:p w14:paraId="0CA79029" w14:textId="77777777" w:rsidR="00754C61" w:rsidRDefault="00754C61" w:rsidP="00754C61">
      <w:pPr>
        <w:spacing w:line="480" w:lineRule="auto"/>
        <w:ind w:left="66" w:firstLine="654"/>
        <w:jc w:val="both"/>
        <w:rPr>
          <w:rFonts w:asciiTheme="majorBidi" w:hAnsiTheme="majorBidi" w:cs="Times New Roman"/>
          <w:sz w:val="24"/>
          <w:szCs w:val="24"/>
        </w:rPr>
      </w:pPr>
      <w:r>
        <w:rPr>
          <w:rFonts w:asciiTheme="majorBidi" w:hAnsiTheme="majorBidi" w:cs="Times New Roman"/>
          <w:sz w:val="24"/>
          <w:szCs w:val="24"/>
        </w:rPr>
        <w:t>Secara Bahasa, radikalisme berasal dari Bahasa latin radix yang berarti akar. Dalam Bahasa Inggris, kata radic dapat mempunyai makna ekstrim, menyeluruh, fanatic, revolusioner, ultra, dan fundamental. Sedangkan menurut istilah radicalism berarti doktrin atau praktik penganut paham radikal atau paham  ekstrim.</w:t>
      </w:r>
      <w:r>
        <w:rPr>
          <w:rStyle w:val="FootnoteReference"/>
          <w:rFonts w:asciiTheme="majorBidi" w:hAnsiTheme="majorBidi"/>
          <w:sz w:val="24"/>
          <w:szCs w:val="24"/>
        </w:rPr>
        <w:footnoteReference w:id="18"/>
      </w:r>
      <w:r>
        <w:rPr>
          <w:rFonts w:asciiTheme="majorBidi" w:hAnsiTheme="majorBidi" w:cs="Times New Roman"/>
          <w:sz w:val="24"/>
          <w:szCs w:val="24"/>
        </w:rPr>
        <w:t xml:space="preserve"> Dalam Kamus Besar Bahasa Indonesia, Radikalisme berarti paham atau aliran yang menginginkan perubahan atau pembaharuan sosial dan politik dengan cara kekerasan atau drastis.</w:t>
      </w:r>
      <w:r>
        <w:rPr>
          <w:rStyle w:val="FootnoteReference"/>
          <w:rFonts w:asciiTheme="majorBidi" w:hAnsiTheme="majorBidi"/>
          <w:sz w:val="24"/>
          <w:szCs w:val="24"/>
        </w:rPr>
        <w:footnoteReference w:id="19"/>
      </w:r>
      <w:r>
        <w:rPr>
          <w:rFonts w:asciiTheme="majorBidi" w:hAnsiTheme="majorBidi" w:cs="Times New Roman"/>
          <w:sz w:val="24"/>
          <w:szCs w:val="24"/>
        </w:rPr>
        <w:t xml:space="preserve"> Disisi lain, menurut Ahmad Asrori dalam penelitiannya radikalisme merupakan suatu aliran yang dibuat oleh sekelompok orang yang bertujuan untuk melakukan perubahan atau pembaharuan sosial politik secara besar-besaran dan menggunakan kekerasan.</w:t>
      </w:r>
      <w:r>
        <w:rPr>
          <w:rStyle w:val="FootnoteReference"/>
          <w:rFonts w:asciiTheme="majorBidi" w:hAnsiTheme="majorBidi"/>
          <w:sz w:val="24"/>
          <w:szCs w:val="24"/>
        </w:rPr>
        <w:footnoteReference w:id="20"/>
      </w:r>
      <w:r>
        <w:rPr>
          <w:rFonts w:asciiTheme="majorBidi" w:hAnsiTheme="majorBidi" w:cs="Times New Roman"/>
          <w:sz w:val="24"/>
          <w:szCs w:val="24"/>
        </w:rPr>
        <w:t xml:space="preserve"> Dengan demikian, radikalisme merupakan gejala umum yang bisa terjadi dalam suatu masyarakat dengan motif beragam, baik sosial, politik, budaya, maupun agama, yang mana ditandai dengan Tindakan-tindakan keras, ekstrim, dan anarkis sebagai wujud dari penolakan terhadap gejala yang dihadapi. </w:t>
      </w:r>
    </w:p>
    <w:p w14:paraId="13523855" w14:textId="77777777" w:rsidR="00754C61" w:rsidRDefault="00754C61" w:rsidP="00754C61">
      <w:pPr>
        <w:spacing w:line="480" w:lineRule="auto"/>
        <w:ind w:left="66" w:firstLine="654"/>
        <w:jc w:val="both"/>
        <w:rPr>
          <w:rFonts w:asciiTheme="majorBidi" w:hAnsiTheme="majorBidi" w:cs="Times New Roman"/>
          <w:sz w:val="24"/>
          <w:szCs w:val="24"/>
        </w:rPr>
      </w:pPr>
      <w:r>
        <w:rPr>
          <w:rFonts w:asciiTheme="majorBidi" w:hAnsiTheme="majorBidi" w:cs="Times New Roman"/>
          <w:sz w:val="24"/>
          <w:szCs w:val="24"/>
        </w:rPr>
        <w:t xml:space="preserve">Dari berbagai pengertian diatas mengenai faham radikalisme, dapat disimpulkan bahwa gerakan radikalisme merupakan semangat yang membawa kepada Tindakan kekerasan dan anarkis yang bertujuan untuk melemahkan bahkan </w:t>
      </w:r>
      <w:r>
        <w:rPr>
          <w:rFonts w:asciiTheme="majorBidi" w:hAnsiTheme="majorBidi" w:cs="Times New Roman"/>
          <w:sz w:val="24"/>
          <w:szCs w:val="24"/>
        </w:rPr>
        <w:lastRenderedPageBreak/>
        <w:t>mengganti tatanan politik atau apapun dengan tatanan baru, gagasan baru, dan pemahaman baru. Apabila dilihat dari sisi agama Islam, paham radikalisme terlihat sangat kaku dan berpandangan kolot dalam berpendapat. Mereka menganggap paling benar dalam urusan beragama dan menganggap paling sesui dengan Al-Qur’an dan Hadits. Hal tersebut tidak sesuai dengan ajaran agama Islam yang merupakan agama kedamaian, yang selalu menyebarkan ajarannya dengan kedamaian dan tidak menggunakan kekerasan.</w:t>
      </w:r>
    </w:p>
    <w:p w14:paraId="5447DAA3" w14:textId="77777777" w:rsidR="00754C61" w:rsidRDefault="00754C61" w:rsidP="00754C61">
      <w:pPr>
        <w:spacing w:line="240" w:lineRule="auto"/>
        <w:ind w:left="66" w:firstLine="654"/>
        <w:jc w:val="both"/>
        <w:rPr>
          <w:rFonts w:asciiTheme="majorBidi" w:hAnsiTheme="majorBidi" w:cs="Times New Roman"/>
          <w:sz w:val="24"/>
          <w:szCs w:val="24"/>
        </w:rPr>
      </w:pPr>
    </w:p>
    <w:p w14:paraId="639B7D2C" w14:textId="77777777" w:rsidR="00754C61" w:rsidRPr="00317BAD" w:rsidRDefault="00754C61" w:rsidP="00754C61">
      <w:pPr>
        <w:pStyle w:val="ListParagraph"/>
        <w:numPr>
          <w:ilvl w:val="0"/>
          <w:numId w:val="3"/>
        </w:numPr>
        <w:spacing w:line="240" w:lineRule="auto"/>
        <w:ind w:left="426"/>
        <w:jc w:val="both"/>
        <w:rPr>
          <w:rFonts w:asciiTheme="majorBidi" w:hAnsiTheme="majorBidi" w:cs="Times New Roman"/>
          <w:b/>
          <w:bCs/>
          <w:sz w:val="24"/>
          <w:szCs w:val="24"/>
        </w:rPr>
      </w:pPr>
      <w:r w:rsidRPr="00317BAD">
        <w:rPr>
          <w:rFonts w:asciiTheme="majorBidi" w:hAnsiTheme="majorBidi" w:cs="Times New Roman"/>
          <w:b/>
          <w:bCs/>
          <w:sz w:val="24"/>
          <w:szCs w:val="24"/>
        </w:rPr>
        <w:t>Ciri-Ciri Radikalisme</w:t>
      </w:r>
    </w:p>
    <w:p w14:paraId="5F1DF8A5" w14:textId="77777777" w:rsidR="00754C61" w:rsidRDefault="00754C61" w:rsidP="00754C61">
      <w:pPr>
        <w:spacing w:line="480" w:lineRule="auto"/>
        <w:ind w:firstLine="720"/>
        <w:jc w:val="both"/>
        <w:rPr>
          <w:rFonts w:asciiTheme="majorBidi" w:hAnsiTheme="majorBidi" w:cs="Times New Roman"/>
          <w:sz w:val="24"/>
          <w:szCs w:val="24"/>
        </w:rPr>
      </w:pPr>
      <w:r>
        <w:rPr>
          <w:rFonts w:asciiTheme="majorBidi" w:hAnsiTheme="majorBidi" w:cs="Times New Roman"/>
          <w:sz w:val="24"/>
          <w:szCs w:val="24"/>
        </w:rPr>
        <w:t xml:space="preserve">Dari pengertian radikalisme dan sifat dari kelompok radikal, mereka mempunyai beberapa ciri-ciri yang menandakan bahwa mereka adalah kelompok radikal, diantaranya </w:t>
      </w:r>
      <w:proofErr w:type="gramStart"/>
      <w:r>
        <w:rPr>
          <w:rFonts w:asciiTheme="majorBidi" w:hAnsiTheme="majorBidi" w:cs="Times New Roman"/>
          <w:sz w:val="24"/>
          <w:szCs w:val="24"/>
        </w:rPr>
        <w:t>adalah :</w:t>
      </w:r>
      <w:proofErr w:type="gramEnd"/>
    </w:p>
    <w:p w14:paraId="1BD8AEDB" w14:textId="77777777" w:rsidR="00754C61" w:rsidRDefault="00754C61" w:rsidP="00754C61">
      <w:pPr>
        <w:pStyle w:val="ListParagraph"/>
        <w:numPr>
          <w:ilvl w:val="0"/>
          <w:numId w:val="4"/>
        </w:numPr>
        <w:spacing w:line="480" w:lineRule="auto"/>
        <w:ind w:left="426"/>
        <w:jc w:val="both"/>
        <w:rPr>
          <w:rFonts w:asciiTheme="majorBidi" w:hAnsiTheme="majorBidi" w:cs="Times New Roman"/>
          <w:sz w:val="24"/>
          <w:szCs w:val="24"/>
        </w:rPr>
      </w:pPr>
      <w:r w:rsidRPr="00525C7C">
        <w:rPr>
          <w:rFonts w:asciiTheme="majorBidi" w:hAnsiTheme="majorBidi" w:cs="Times New Roman"/>
          <w:sz w:val="24"/>
          <w:szCs w:val="24"/>
        </w:rPr>
        <w:t>Sering mengklaim kebenaran tunggal dan menyesatkan kelompok lain yang tak sependapat.</w:t>
      </w:r>
    </w:p>
    <w:p w14:paraId="62B8C406" w14:textId="77777777" w:rsidR="00754C61" w:rsidRDefault="00754C61" w:rsidP="00754C61">
      <w:pPr>
        <w:pStyle w:val="ListParagraph"/>
        <w:numPr>
          <w:ilvl w:val="0"/>
          <w:numId w:val="4"/>
        </w:numPr>
        <w:spacing w:line="480" w:lineRule="auto"/>
        <w:ind w:left="426"/>
        <w:jc w:val="both"/>
        <w:rPr>
          <w:rFonts w:asciiTheme="majorBidi" w:hAnsiTheme="majorBidi" w:cs="Times New Roman"/>
          <w:sz w:val="24"/>
          <w:szCs w:val="24"/>
        </w:rPr>
      </w:pPr>
      <w:r w:rsidRPr="00525C7C">
        <w:rPr>
          <w:rFonts w:asciiTheme="majorBidi" w:hAnsiTheme="majorBidi" w:cs="Times New Roman"/>
          <w:sz w:val="24"/>
          <w:szCs w:val="24"/>
        </w:rPr>
        <w:t>Kelompok radikalisme mempersulit agama Islam yang sejatinya ringan dianggap menjadi berat, seperti contoh ibadah sunnah dianggap seakan-akan wajib, dan hukum makruh dianggap sekan-akan menjadi hukum haram.</w:t>
      </w:r>
    </w:p>
    <w:p w14:paraId="65450A6C" w14:textId="77777777" w:rsidR="00754C61" w:rsidRDefault="00754C61" w:rsidP="00754C61">
      <w:pPr>
        <w:pStyle w:val="ListParagraph"/>
        <w:numPr>
          <w:ilvl w:val="0"/>
          <w:numId w:val="4"/>
        </w:numPr>
        <w:spacing w:line="480" w:lineRule="auto"/>
        <w:ind w:left="426"/>
        <w:jc w:val="both"/>
        <w:rPr>
          <w:rFonts w:asciiTheme="majorBidi" w:hAnsiTheme="majorBidi" w:cs="Times New Roman"/>
          <w:sz w:val="24"/>
          <w:szCs w:val="24"/>
        </w:rPr>
      </w:pPr>
      <w:r w:rsidRPr="00525C7C">
        <w:rPr>
          <w:rFonts w:asciiTheme="majorBidi" w:hAnsiTheme="majorBidi" w:cs="Times New Roman"/>
          <w:sz w:val="24"/>
          <w:szCs w:val="24"/>
        </w:rPr>
        <w:t>Kelompok radikal biasanya berlebihan dalam beragama yang tidak pada tempatnya. Dalam berdakwah mereka tidak menggunakan metode yang diterapkan oleh Nabi, sehingga orang awam yang mendengarkan merasa keberatan dan ketakutan.</w:t>
      </w:r>
    </w:p>
    <w:p w14:paraId="24ADAED2" w14:textId="77777777" w:rsidR="00754C61" w:rsidRDefault="00754C61" w:rsidP="00754C61">
      <w:pPr>
        <w:pStyle w:val="ListParagraph"/>
        <w:numPr>
          <w:ilvl w:val="0"/>
          <w:numId w:val="4"/>
        </w:numPr>
        <w:spacing w:line="480" w:lineRule="auto"/>
        <w:ind w:left="426"/>
        <w:jc w:val="both"/>
        <w:rPr>
          <w:rFonts w:asciiTheme="majorBidi" w:hAnsiTheme="majorBidi" w:cs="Times New Roman"/>
          <w:sz w:val="24"/>
          <w:szCs w:val="24"/>
        </w:rPr>
      </w:pPr>
      <w:r w:rsidRPr="00525C7C">
        <w:rPr>
          <w:rFonts w:asciiTheme="majorBidi" w:hAnsiTheme="majorBidi" w:cs="Times New Roman"/>
          <w:sz w:val="24"/>
          <w:szCs w:val="24"/>
        </w:rPr>
        <w:t>Kasar dalam berinteraksi, keras dalam berbicara dan emosional dalam berdakwah.</w:t>
      </w:r>
    </w:p>
    <w:p w14:paraId="3618831C" w14:textId="77777777" w:rsidR="00754C61" w:rsidRDefault="00754C61" w:rsidP="00754C61">
      <w:pPr>
        <w:pStyle w:val="ListParagraph"/>
        <w:numPr>
          <w:ilvl w:val="0"/>
          <w:numId w:val="4"/>
        </w:numPr>
        <w:spacing w:line="480" w:lineRule="auto"/>
        <w:ind w:left="426"/>
        <w:jc w:val="both"/>
        <w:rPr>
          <w:rFonts w:asciiTheme="majorBidi" w:hAnsiTheme="majorBidi" w:cs="Times New Roman"/>
          <w:sz w:val="24"/>
          <w:szCs w:val="24"/>
        </w:rPr>
      </w:pPr>
      <w:r w:rsidRPr="00525C7C">
        <w:rPr>
          <w:rFonts w:asciiTheme="majorBidi" w:hAnsiTheme="majorBidi" w:cs="Times New Roman"/>
          <w:sz w:val="24"/>
          <w:szCs w:val="24"/>
        </w:rPr>
        <w:lastRenderedPageBreak/>
        <w:t>Kelompok radikal mudah bersuudzon kepada kelompok lain yang tidak sepaham dengan mereka.</w:t>
      </w:r>
    </w:p>
    <w:p w14:paraId="656A9453" w14:textId="77777777" w:rsidR="00754C61" w:rsidRDefault="00754C61" w:rsidP="00754C61">
      <w:pPr>
        <w:pStyle w:val="ListParagraph"/>
        <w:numPr>
          <w:ilvl w:val="0"/>
          <w:numId w:val="4"/>
        </w:numPr>
        <w:spacing w:line="480" w:lineRule="auto"/>
        <w:ind w:left="426"/>
        <w:jc w:val="both"/>
        <w:rPr>
          <w:rFonts w:asciiTheme="majorBidi" w:hAnsiTheme="majorBidi" w:cs="Times New Roman"/>
          <w:sz w:val="24"/>
          <w:szCs w:val="24"/>
        </w:rPr>
      </w:pPr>
      <w:r w:rsidRPr="00525C7C">
        <w:rPr>
          <w:rFonts w:asciiTheme="majorBidi" w:hAnsiTheme="majorBidi" w:cs="Times New Roman"/>
          <w:sz w:val="24"/>
          <w:szCs w:val="24"/>
        </w:rPr>
        <w:t>Mudah sekali mengkafirkan seseorang yang berbeda pendapat dengan mereka.</w:t>
      </w:r>
      <w:r>
        <w:rPr>
          <w:rStyle w:val="FootnoteReference"/>
          <w:rFonts w:asciiTheme="majorBidi" w:hAnsiTheme="majorBidi"/>
          <w:sz w:val="24"/>
          <w:szCs w:val="24"/>
        </w:rPr>
        <w:footnoteReference w:id="21"/>
      </w:r>
    </w:p>
    <w:p w14:paraId="44C9151C" w14:textId="77777777" w:rsidR="00754C61" w:rsidRPr="00525C7C" w:rsidRDefault="00754C61" w:rsidP="00754C61">
      <w:pPr>
        <w:spacing w:line="240" w:lineRule="auto"/>
        <w:jc w:val="both"/>
        <w:rPr>
          <w:rFonts w:asciiTheme="majorBidi" w:hAnsiTheme="majorBidi" w:cs="Times New Roman"/>
          <w:sz w:val="24"/>
          <w:szCs w:val="24"/>
        </w:rPr>
      </w:pPr>
    </w:p>
    <w:p w14:paraId="713BAEA8" w14:textId="77777777" w:rsidR="00754C61" w:rsidRDefault="00754C61" w:rsidP="00754C61">
      <w:pPr>
        <w:pStyle w:val="ListParagraph"/>
        <w:numPr>
          <w:ilvl w:val="0"/>
          <w:numId w:val="3"/>
        </w:numPr>
        <w:spacing w:line="240" w:lineRule="auto"/>
        <w:ind w:left="426"/>
        <w:jc w:val="both"/>
        <w:rPr>
          <w:rFonts w:asciiTheme="majorBidi" w:hAnsiTheme="majorBidi" w:cs="Times New Roman"/>
          <w:sz w:val="24"/>
          <w:szCs w:val="24"/>
        </w:rPr>
      </w:pPr>
      <w:r w:rsidRPr="00317BAD">
        <w:rPr>
          <w:rFonts w:asciiTheme="majorBidi" w:hAnsiTheme="majorBidi" w:cs="Times New Roman"/>
          <w:b/>
          <w:bCs/>
          <w:sz w:val="24"/>
          <w:szCs w:val="24"/>
        </w:rPr>
        <w:t>Faktor Penyebab dan Sumber Kemunculan Radikalisme</w:t>
      </w:r>
      <w:r>
        <w:rPr>
          <w:rStyle w:val="FootnoteReference"/>
          <w:rFonts w:asciiTheme="majorBidi" w:hAnsiTheme="majorBidi"/>
          <w:sz w:val="24"/>
          <w:szCs w:val="24"/>
        </w:rPr>
        <w:footnoteReference w:id="22"/>
      </w:r>
    </w:p>
    <w:p w14:paraId="19A85AEB" w14:textId="77777777" w:rsidR="00754C61" w:rsidRDefault="00754C61" w:rsidP="00754C61">
      <w:pPr>
        <w:spacing w:line="480" w:lineRule="auto"/>
        <w:ind w:firstLine="567"/>
        <w:jc w:val="both"/>
        <w:rPr>
          <w:rFonts w:asciiTheme="majorBidi" w:hAnsiTheme="majorBidi" w:cs="Times New Roman"/>
          <w:sz w:val="24"/>
          <w:szCs w:val="24"/>
        </w:rPr>
      </w:pPr>
      <w:r>
        <w:rPr>
          <w:rFonts w:asciiTheme="majorBidi" w:hAnsiTheme="majorBidi" w:cs="Times New Roman"/>
          <w:sz w:val="24"/>
          <w:szCs w:val="24"/>
        </w:rPr>
        <w:t xml:space="preserve">Awal munculnya paham radikalisme dikalangan masyarakat tentunya karena beberapa faktor yang mempengaruhinya, diantaranya </w:t>
      </w:r>
      <w:proofErr w:type="gramStart"/>
      <w:r>
        <w:rPr>
          <w:rFonts w:asciiTheme="majorBidi" w:hAnsiTheme="majorBidi" w:cs="Times New Roman"/>
          <w:sz w:val="24"/>
          <w:szCs w:val="24"/>
        </w:rPr>
        <w:t>adalah :</w:t>
      </w:r>
      <w:proofErr w:type="gramEnd"/>
    </w:p>
    <w:p w14:paraId="6AB4B4D2" w14:textId="77777777" w:rsidR="00754C61" w:rsidRPr="00525C7C" w:rsidRDefault="00754C61" w:rsidP="00754C61">
      <w:pPr>
        <w:pStyle w:val="ListParagraph"/>
        <w:numPr>
          <w:ilvl w:val="0"/>
          <w:numId w:val="5"/>
        </w:numPr>
        <w:spacing w:line="480" w:lineRule="auto"/>
        <w:ind w:left="567"/>
        <w:jc w:val="both"/>
        <w:rPr>
          <w:rFonts w:asciiTheme="majorBidi" w:hAnsiTheme="majorBidi" w:cs="Times New Roman"/>
          <w:sz w:val="24"/>
          <w:szCs w:val="24"/>
        </w:rPr>
      </w:pPr>
      <w:r w:rsidRPr="00525C7C">
        <w:rPr>
          <w:rFonts w:asciiTheme="majorBidi" w:hAnsiTheme="majorBidi" w:cs="Times New Roman"/>
          <w:sz w:val="24"/>
          <w:szCs w:val="24"/>
        </w:rPr>
        <w:t>Faktor politik, kelompok radikalisme beranggapan bahwa agama islam harus menjadikan Indonesia sebagai negara muslim, karena menurut mereka dasar ideologi Indonesia tidak akan bisa memenuhi aspirasi dan harapan masyarakat Indonesia yang sebagian besar adalah umat muslim. Maka dari itu, mereka beranggapan Indonesia sebaiknya secara formal menjadi sebuah negara yang berlandaskan pada ideologi Islam, bukan Pancasila.</w:t>
      </w:r>
    </w:p>
    <w:p w14:paraId="3189D91F" w14:textId="77777777" w:rsidR="00754C61" w:rsidRPr="00525C7C" w:rsidRDefault="00754C61" w:rsidP="00754C61">
      <w:pPr>
        <w:pStyle w:val="ListParagraph"/>
        <w:numPr>
          <w:ilvl w:val="0"/>
          <w:numId w:val="5"/>
        </w:numPr>
        <w:spacing w:line="480" w:lineRule="auto"/>
        <w:ind w:left="567"/>
        <w:jc w:val="both"/>
        <w:rPr>
          <w:rFonts w:asciiTheme="majorBidi" w:hAnsiTheme="majorBidi" w:cs="Times New Roman"/>
          <w:sz w:val="24"/>
          <w:szCs w:val="24"/>
        </w:rPr>
      </w:pPr>
      <w:r w:rsidRPr="00525C7C">
        <w:rPr>
          <w:rFonts w:asciiTheme="majorBidi" w:hAnsiTheme="majorBidi" w:cs="Times New Roman"/>
          <w:sz w:val="24"/>
          <w:szCs w:val="24"/>
        </w:rPr>
        <w:t xml:space="preserve">Faktor </w:t>
      </w:r>
      <w:proofErr w:type="gramStart"/>
      <w:r w:rsidRPr="00525C7C">
        <w:rPr>
          <w:rFonts w:asciiTheme="majorBidi" w:hAnsiTheme="majorBidi" w:cs="Times New Roman"/>
          <w:sz w:val="24"/>
          <w:szCs w:val="24"/>
        </w:rPr>
        <w:t>ekonomi,selain</w:t>
      </w:r>
      <w:proofErr w:type="gramEnd"/>
      <w:r w:rsidRPr="00525C7C">
        <w:rPr>
          <w:rFonts w:asciiTheme="majorBidi" w:hAnsiTheme="majorBidi" w:cs="Times New Roman"/>
          <w:sz w:val="24"/>
          <w:szCs w:val="24"/>
        </w:rPr>
        <w:t xml:space="preserve"> factor politik yang memperngaruhi kemunculan radikalisme, factor ekonomi juga menjadi pemicu munculnya radikalisme di Indonesia. Kelompok radikal menganggap bahwa umat muslim sangat terbelakang dan tertinggal dalam hal pengetahuan, teknologi, ekonomi, kesejahteraan rakyat disbanding dengan Kawasan lain yang menganut agama besar selain Islam. Kemudian mereka menganggap bahwa akibat dari negara kita yang masih menganut kepada negara yang notabene non-Islam dalam hal </w:t>
      </w:r>
      <w:r w:rsidRPr="00525C7C">
        <w:rPr>
          <w:rFonts w:asciiTheme="majorBidi" w:hAnsiTheme="majorBidi" w:cs="Times New Roman"/>
          <w:sz w:val="24"/>
          <w:szCs w:val="24"/>
        </w:rPr>
        <w:lastRenderedPageBreak/>
        <w:t>ilmu pengetahuan dan teknologi negara Islam menjadi ketergantungan secara ekonomi kepada negara donor.</w:t>
      </w:r>
    </w:p>
    <w:p w14:paraId="105B4545" w14:textId="77777777" w:rsidR="00754C61" w:rsidRPr="00525C7C" w:rsidRDefault="00754C61" w:rsidP="00754C61">
      <w:pPr>
        <w:pStyle w:val="ListParagraph"/>
        <w:numPr>
          <w:ilvl w:val="0"/>
          <w:numId w:val="5"/>
        </w:numPr>
        <w:spacing w:line="480" w:lineRule="auto"/>
        <w:ind w:left="567"/>
        <w:jc w:val="both"/>
        <w:rPr>
          <w:rFonts w:asciiTheme="majorBidi" w:hAnsiTheme="majorBidi" w:cs="Times New Roman"/>
          <w:sz w:val="24"/>
          <w:szCs w:val="24"/>
        </w:rPr>
      </w:pPr>
      <w:r w:rsidRPr="00525C7C">
        <w:rPr>
          <w:rFonts w:asciiTheme="majorBidi" w:hAnsiTheme="majorBidi" w:cs="Times New Roman"/>
          <w:sz w:val="24"/>
          <w:szCs w:val="24"/>
        </w:rPr>
        <w:t>Fa</w:t>
      </w:r>
      <w:r>
        <w:rPr>
          <w:rFonts w:asciiTheme="majorBidi" w:hAnsiTheme="majorBidi" w:cs="Times New Roman"/>
          <w:sz w:val="24"/>
          <w:szCs w:val="24"/>
        </w:rPr>
        <w:t>k</w:t>
      </w:r>
      <w:r w:rsidRPr="00525C7C">
        <w:rPr>
          <w:rFonts w:asciiTheme="majorBidi" w:hAnsiTheme="majorBidi" w:cs="Times New Roman"/>
          <w:sz w:val="24"/>
          <w:szCs w:val="24"/>
        </w:rPr>
        <w:t xml:space="preserve">tor sosial-budaya, pengadopsian sistem politik dan hegemoni ekonomi Barat di negara-negara muslim pada akhirnya akan mempengaruhi nilai-nilai budaya yang dianut oleh masyarakat muslim secara luas. Mereka takut adanya hasil industry yang diekspor ke negara Islam akan mempengaruhi nilai-nilai budaya Islam melalui produk yang ada di </w:t>
      </w:r>
      <w:proofErr w:type="gramStart"/>
      <w:r w:rsidRPr="00525C7C">
        <w:rPr>
          <w:rFonts w:asciiTheme="majorBidi" w:hAnsiTheme="majorBidi" w:cs="Times New Roman"/>
          <w:sz w:val="24"/>
          <w:szCs w:val="24"/>
        </w:rPr>
        <w:t>dalamnya .</w:t>
      </w:r>
      <w:proofErr w:type="gramEnd"/>
    </w:p>
    <w:p w14:paraId="187D14BA" w14:textId="77777777" w:rsidR="00754C61" w:rsidRPr="00525C7C" w:rsidRDefault="00754C61" w:rsidP="00754C61">
      <w:pPr>
        <w:pStyle w:val="ListParagraph"/>
        <w:numPr>
          <w:ilvl w:val="0"/>
          <w:numId w:val="5"/>
        </w:numPr>
        <w:spacing w:line="480" w:lineRule="auto"/>
        <w:ind w:left="567"/>
        <w:jc w:val="both"/>
        <w:rPr>
          <w:rFonts w:asciiTheme="majorBidi" w:hAnsiTheme="majorBidi" w:cs="Times New Roman"/>
          <w:sz w:val="24"/>
          <w:szCs w:val="24"/>
        </w:rPr>
      </w:pPr>
      <w:r w:rsidRPr="00525C7C">
        <w:rPr>
          <w:rFonts w:asciiTheme="majorBidi" w:hAnsiTheme="majorBidi" w:cs="Times New Roman"/>
          <w:sz w:val="24"/>
          <w:szCs w:val="24"/>
        </w:rPr>
        <w:t>Faktor pemahaman keagamaan (teologi), Munculnya gerakan radikal dalam komunitas agama jelas diinspirasikan atau memiliki landasan dalam ajaran agama yang dijadikan legitimasi untuk mengabsahkan tindakan-tindakan yang dilakukannya.</w:t>
      </w:r>
    </w:p>
    <w:p w14:paraId="1190E0F1" w14:textId="77777777" w:rsidR="00754C61" w:rsidRDefault="00754C61" w:rsidP="00754C61">
      <w:pPr>
        <w:pStyle w:val="ListParagraph"/>
        <w:spacing w:line="480" w:lineRule="auto"/>
        <w:ind w:left="426"/>
        <w:jc w:val="both"/>
        <w:rPr>
          <w:rFonts w:asciiTheme="majorBidi" w:hAnsiTheme="majorBidi" w:cs="Times New Roman"/>
          <w:sz w:val="24"/>
          <w:szCs w:val="24"/>
        </w:rPr>
      </w:pPr>
    </w:p>
    <w:p w14:paraId="7E1227F5" w14:textId="77777777" w:rsidR="00754C61" w:rsidRPr="004532CE" w:rsidRDefault="00754C61" w:rsidP="00754C61">
      <w:pPr>
        <w:pStyle w:val="ListParagraph"/>
        <w:spacing w:line="480" w:lineRule="auto"/>
        <w:ind w:left="0"/>
        <w:jc w:val="both"/>
        <w:rPr>
          <w:rFonts w:asciiTheme="majorBidi" w:hAnsiTheme="majorBidi" w:cs="Times New Roman"/>
          <w:sz w:val="24"/>
          <w:szCs w:val="24"/>
        </w:rPr>
      </w:pPr>
    </w:p>
    <w:p w14:paraId="1993DADE" w14:textId="77777777" w:rsidR="00754C61" w:rsidRDefault="00754C61" w:rsidP="00754C61">
      <w:pPr>
        <w:pStyle w:val="ListParagraph"/>
        <w:spacing w:line="480" w:lineRule="auto"/>
        <w:ind w:left="426"/>
        <w:jc w:val="both"/>
        <w:rPr>
          <w:rFonts w:asciiTheme="majorBidi" w:hAnsiTheme="majorBidi" w:cs="Times New Roman"/>
          <w:sz w:val="24"/>
          <w:szCs w:val="24"/>
        </w:rPr>
      </w:pPr>
    </w:p>
    <w:p w14:paraId="584029AC" w14:textId="77777777" w:rsidR="00754C61" w:rsidRDefault="00754C61" w:rsidP="00754C61">
      <w:pPr>
        <w:pStyle w:val="ListParagraph"/>
        <w:spacing w:line="480" w:lineRule="auto"/>
        <w:ind w:left="0" w:firstLine="720"/>
        <w:jc w:val="both"/>
        <w:rPr>
          <w:rFonts w:asciiTheme="majorBidi" w:hAnsiTheme="majorBidi" w:cs="Times New Roman"/>
          <w:sz w:val="24"/>
          <w:szCs w:val="24"/>
        </w:rPr>
      </w:pPr>
    </w:p>
    <w:p w14:paraId="308BA013" w14:textId="77777777" w:rsidR="00754C61" w:rsidRPr="00D5736C" w:rsidRDefault="00754C61" w:rsidP="00754C61">
      <w:pPr>
        <w:pStyle w:val="ListParagraph"/>
        <w:spacing w:line="480" w:lineRule="auto"/>
        <w:rPr>
          <w:rFonts w:asciiTheme="majorBidi" w:hAnsiTheme="majorBidi" w:cs="Times New Roman"/>
          <w:sz w:val="24"/>
          <w:szCs w:val="24"/>
        </w:rPr>
      </w:pPr>
    </w:p>
    <w:p w14:paraId="12AB2789" w14:textId="77777777" w:rsidR="00A72B30" w:rsidRDefault="00A72B30">
      <w:bookmarkStart w:id="0" w:name="_GoBack"/>
      <w:bookmarkEnd w:id="0"/>
    </w:p>
    <w:sectPr w:rsidR="00A72B30" w:rsidSect="00317BAD">
      <w:headerReference w:type="even" r:id="rId13"/>
      <w:headerReference w:type="default" r:id="rId14"/>
      <w:footerReference w:type="default" r:id="rId15"/>
      <w:headerReference w:type="first" r:id="rId1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E7644" w14:textId="77777777" w:rsidR="00DE755E" w:rsidRDefault="00DE755E" w:rsidP="00754C61">
      <w:pPr>
        <w:spacing w:after="0" w:line="240" w:lineRule="auto"/>
      </w:pPr>
      <w:r>
        <w:separator/>
      </w:r>
    </w:p>
  </w:endnote>
  <w:endnote w:type="continuationSeparator" w:id="0">
    <w:p w14:paraId="7E229513" w14:textId="77777777" w:rsidR="00DE755E" w:rsidRDefault="00DE755E" w:rsidP="0075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Arabic">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34A5" w14:textId="77777777" w:rsidR="00754C61" w:rsidRDefault="00754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2DB4" w14:textId="77777777" w:rsidR="00754C61" w:rsidRPr="003F09CB" w:rsidRDefault="00754C61">
    <w:pPr>
      <w:pStyle w:val="Footer"/>
      <w:jc w:val="center"/>
      <w:rPr>
        <w:rFonts w:asciiTheme="majorBidi" w:hAnsiTheme="majorBidi" w:cs="Times New Roman"/>
      </w:rPr>
    </w:pPr>
    <w:r w:rsidRPr="003F09CB">
      <w:rPr>
        <w:rFonts w:asciiTheme="majorBidi" w:hAnsiTheme="majorBidi" w:cs="Times New Roman"/>
      </w:rPr>
      <w:fldChar w:fldCharType="begin"/>
    </w:r>
    <w:r w:rsidRPr="003F09CB">
      <w:rPr>
        <w:rFonts w:asciiTheme="majorBidi" w:hAnsiTheme="majorBidi" w:cs="Times New Roman"/>
      </w:rPr>
      <w:instrText xml:space="preserve"> PAGE   \* MERGEFORMAT </w:instrText>
    </w:r>
    <w:r w:rsidRPr="003F09CB">
      <w:rPr>
        <w:rFonts w:asciiTheme="majorBidi" w:hAnsiTheme="majorBidi" w:cs="Times New Roman"/>
      </w:rPr>
      <w:fldChar w:fldCharType="separate"/>
    </w:r>
    <w:r w:rsidRPr="003F09CB">
      <w:rPr>
        <w:rFonts w:asciiTheme="majorBidi" w:hAnsiTheme="majorBidi" w:cs="Times New Roman"/>
        <w:noProof/>
      </w:rPr>
      <w:t>2</w:t>
    </w:r>
    <w:r w:rsidRPr="003F09CB">
      <w:rPr>
        <w:rFonts w:asciiTheme="majorBidi" w:hAnsiTheme="majorBidi" w:cs="Times New Roman"/>
      </w:rPr>
      <w:fldChar w:fldCharType="end"/>
    </w:r>
  </w:p>
  <w:p w14:paraId="60AB2A6E" w14:textId="77777777" w:rsidR="00754C61" w:rsidRDefault="00754C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3E7C" w14:textId="77777777" w:rsidR="00754C61" w:rsidRDefault="00754C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F5DF" w14:textId="77777777" w:rsidR="003F09CB" w:rsidRDefault="00DE7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24D6E" w14:textId="77777777" w:rsidR="00DE755E" w:rsidRDefault="00DE755E" w:rsidP="00754C61">
      <w:pPr>
        <w:spacing w:after="0" w:line="240" w:lineRule="auto"/>
      </w:pPr>
      <w:r>
        <w:separator/>
      </w:r>
    </w:p>
  </w:footnote>
  <w:footnote w:type="continuationSeparator" w:id="0">
    <w:p w14:paraId="0BE75A75" w14:textId="77777777" w:rsidR="00DE755E" w:rsidRDefault="00DE755E" w:rsidP="00754C61">
      <w:pPr>
        <w:spacing w:after="0" w:line="240" w:lineRule="auto"/>
      </w:pPr>
      <w:r>
        <w:continuationSeparator/>
      </w:r>
    </w:p>
  </w:footnote>
  <w:footnote w:id="1">
    <w:p w14:paraId="7788C4A7" w14:textId="77777777" w:rsidR="00754C61" w:rsidRDefault="00754C61" w:rsidP="00754C61">
      <w:pPr>
        <w:pStyle w:val="FootnoteText"/>
        <w:ind w:firstLine="720"/>
        <w:jc w:val="both"/>
      </w:pPr>
      <w:r w:rsidRPr="00024E2D">
        <w:rPr>
          <w:rStyle w:val="FootnoteReference"/>
          <w:rFonts w:asciiTheme="majorBidi" w:hAnsiTheme="majorBidi"/>
        </w:rPr>
        <w:footnoteRef/>
      </w:r>
      <w:r w:rsidRPr="00024E2D">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{"citationID":"ge0s5Hxo","properties":{"formattedCitation":"Tim Aswaja NU Center PWNU Jawa Timur, {\\i{}khazanah aswaja} (Jawa Timur: Aswaja NU Center PWNU Jawa Timur, 2016), hal. 10-15.","plainCitation":"Tim Aswaja NU Center PWNU Jawa Timur, khazanah aswaja (Jawa Timur: Aswaja NU Center PWNU Jawa Timur, 2016), hal. 10-15.","noteIndex":1},"citationItems":[{"id":50,"uris":["http://zotero.org/users/local/7ME6pr6f/items/IEQUB5NG"],"uri":["http://zotero.org/users/local/7ME6pr6f/items/IEQUB5NG"],"itemData":{"id":50,"type":"book","event-place":"Jawa Timur","ISBN":"978-602-74756-0-1","number-of-pages":"374","publisher":"Aswaja NU Center PWNU Jawa Timur","publisher-place":"Jawa Timur","title":"khazanah aswaja","author":[{"family":"Tim Aswaja NU Center PWNU Jawa Timur","given":""}],"issued":{"date-parts":[["2016"]]}},"locator":"hal. 10-15","label":"page"}],"schema":"https://github.com/citation-style-language/schema/raw/master/csl-citation.json"} </w:instrText>
      </w:r>
      <w:r>
        <w:rPr>
          <w:rFonts w:asciiTheme="majorBidi" w:hAnsiTheme="majorBidi" w:cs="Times New Roman"/>
        </w:rPr>
        <w:fldChar w:fldCharType="separate"/>
      </w:r>
      <w:r w:rsidRPr="007D5A62">
        <w:rPr>
          <w:rFonts w:ascii="Times New Roman" w:hAnsi="Times New Roman" w:cs="Times New Roman"/>
          <w:szCs w:val="24"/>
        </w:rPr>
        <w:t xml:space="preserve">Tim Aswaja NU Center PWNU Jawa Timur, </w:t>
      </w:r>
      <w:r w:rsidRPr="007D5A62">
        <w:rPr>
          <w:rFonts w:ascii="Times New Roman" w:hAnsi="Times New Roman" w:cs="Times New Roman"/>
          <w:i/>
          <w:iCs/>
          <w:szCs w:val="24"/>
        </w:rPr>
        <w:t>khazanah aswaja</w:t>
      </w:r>
      <w:r w:rsidRPr="007D5A62">
        <w:rPr>
          <w:rFonts w:ascii="Times New Roman" w:hAnsi="Times New Roman" w:cs="Times New Roman"/>
          <w:szCs w:val="24"/>
        </w:rPr>
        <w:t xml:space="preserve"> (Jawa Timur: Aswaja NU Center PWNU Jawa Timur, 2016), hal. 10-15.</w:t>
      </w:r>
      <w:r>
        <w:rPr>
          <w:rFonts w:asciiTheme="majorBidi" w:hAnsiTheme="majorBidi" w:cs="Times New Roman"/>
        </w:rPr>
        <w:fldChar w:fldCharType="end"/>
      </w:r>
    </w:p>
  </w:footnote>
  <w:footnote w:id="2">
    <w:p w14:paraId="54ED2D02" w14:textId="77777777" w:rsidR="00754C61" w:rsidRDefault="00754C61" w:rsidP="00754C61">
      <w:pPr>
        <w:pStyle w:val="FootnoteText"/>
        <w:ind w:firstLine="720"/>
        <w:jc w:val="both"/>
      </w:pPr>
      <w:r w:rsidRPr="00811201">
        <w:rPr>
          <w:rStyle w:val="FootnoteReference"/>
          <w:rFonts w:asciiTheme="majorBidi" w:hAnsiTheme="majorBidi"/>
        </w:rPr>
        <w:footnoteRef/>
      </w:r>
      <w:r w:rsidRPr="00811201">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{"citationID":"FsBhXCOP","properties":{"custom":"Muhammad Imdad Rabbani, \\uc0\\u8220{}Tauhid Ahlussunnah Wal Jama\\uc0\\u8217{}ah; Antara Imamal-Asyari Dan Ibn Taymiyyah,\\uc0\\u8221{} {\\i{}Tafsiyah: Jurnal Pemikiran Islam,} Vol. 3, No. 3, (2019), hal. 4.","formattedCitation":"Muhammad Imdad Rabbani, \\uc0\\u8220{}Tauhid Ahlussunnah Wal Jama\\uc0\\u8217{}ah; Antara Imamal-Asyari Dan Ibn Taymiyyah,\\uc0\\u8221{} {\\i{}Tafsiyah: Jurnal Pemikiran Islam,} Vol. 3, No. 3, (2019), hal. 4.","plainCitation":"Muhammad Imdad Rabbani, “Tauhid Ahlussunnah Wal Jama’ah; Antara Imamal-Asyari Dan Ibn Taymiyyah,” Tafsiyah: Jurnal Pemikiran Islam, Vol. 3, No. 3, (2019), hal. 4.","noteIndex":2},"citationItems":[{"id":64,"uris":["http://zotero.org/users/local/7ME6pr6f/items/N2DAHMY6"],"uri":["http://zotero.org/users/local/7ME6pr6f/items/N2DAHMY6"],"itemData":{"id":64,"type":"article-journal","container-title":"Tafsiyah: Jurnal Pemikiran Islam","issue":"3","page":"1-20","title":"Tauhid Ahlussunnah wal Jama'ah; Antara Imamal-Asyari dan Ibn Taymiyyah","volume":"Vol. 3","author":[{"family":"Rabbani","given":"Muhammad Imdad"}],"issued":{"date-parts":[["2019"]]}},"locator":"hal. 4","label":"page"}],"schema":"https://github.com/citation-style-language/schema/raw/master/csl-citation.json"} </w:instrText>
      </w:r>
      <w:r>
        <w:rPr>
          <w:rFonts w:asciiTheme="majorBidi" w:hAnsiTheme="majorBidi" w:cs="Times New Roman"/>
        </w:rPr>
        <w:fldChar w:fldCharType="separate"/>
      </w:r>
      <w:r w:rsidRPr="00811201">
        <w:rPr>
          <w:rFonts w:asciiTheme="majorBidi" w:hAnsiTheme="majorBidi" w:cs="Times New Roman"/>
          <w:szCs w:val="24"/>
        </w:rPr>
        <w:t xml:space="preserve">Muhammad Imdad Rabbani, “Tauhid Ahlussunnah Wal Jama’ah; Antara Imamal-Asyari Dan Ibn Taymiyyah,” </w:t>
      </w:r>
      <w:r w:rsidRPr="00811201">
        <w:rPr>
          <w:rFonts w:asciiTheme="majorBidi" w:hAnsiTheme="majorBidi" w:cs="Times New Roman"/>
          <w:i/>
          <w:iCs/>
          <w:szCs w:val="24"/>
        </w:rPr>
        <w:t>Tafsiyah: Jurnal Pemikiran Islam,</w:t>
      </w:r>
      <w:r w:rsidRPr="00811201">
        <w:rPr>
          <w:rFonts w:asciiTheme="majorBidi" w:hAnsiTheme="majorBidi" w:cs="Times New Roman"/>
          <w:szCs w:val="24"/>
        </w:rPr>
        <w:t xml:space="preserve"> Vol. 3, No. 3, (2019), hal. 4.</w:t>
      </w:r>
      <w:r>
        <w:rPr>
          <w:rFonts w:asciiTheme="majorBidi" w:hAnsiTheme="majorBidi" w:cs="Times New Roman"/>
        </w:rPr>
        <w:fldChar w:fldCharType="end"/>
      </w:r>
    </w:p>
  </w:footnote>
  <w:footnote w:id="3">
    <w:p w14:paraId="29E486C3" w14:textId="77777777" w:rsidR="00754C61" w:rsidRDefault="00754C61" w:rsidP="00754C61">
      <w:pPr>
        <w:pStyle w:val="FootnoteText"/>
        <w:ind w:firstLine="720"/>
        <w:jc w:val="both"/>
      </w:pPr>
      <w:r w:rsidRPr="00385F3C">
        <w:rPr>
          <w:rStyle w:val="FootnoteReference"/>
          <w:rFonts w:asciiTheme="majorBidi" w:hAnsiTheme="majorBidi"/>
        </w:rPr>
        <w:footnoteRef/>
      </w:r>
      <w:r w:rsidRPr="00385F3C">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{"citationID":"qNCCqDGe","properties":{"custom":"Tim Aswaja NU Center PWNU Jawa Timur, {\\i{}Khazanah Aswaja,} (Jawa Timur: Aswaja NU Center PWNU Jawa Timur, 2016), hal. 43-44.","formattedCitation":"Tim Aswaja NU Center PWNU Jawa Timur, {\\i{}Khazanah Aswaja,} (Jawa Timur: Aswaja NU Center PWNU Jawa Timur, 2016), hal. 43-44.","plainCitation":"Tim Aswaja NU Center PWNU Jawa Timur, Khazanah Aswaja, (Jawa Timur: Aswaja NU Center PWNU Jawa Timur, 2016), hal. 43-44.","noteIndex":3},"citationItems":[{"id":50,"uris":["http://zotero.org/users/local/7ME6pr6f/items/IEQUB5NG"],"uri":["http://zotero.org/users/local/7ME6pr6f/items/IEQUB5NG"],"itemData":{"id":50,"type":"book","event-place":"Jawa Timur","ISBN":"978-602-74756-0-1","number-of-pages":"374","publisher":"Aswaja NU Center PWNU Jawa Timur","publisher-place":"Jawa Timur","title":"khazanah aswaja","author":[{"family":"Tim Aswaja NU Center PWNU Jawa Timur","given":""}],"issued":{"date-parts":[["2016"]]}},"locator":"hal. 43-44","label":"page"}],"schema":"https://github.com/citation-style-language/schema/raw/master/csl-citation.json"} </w:instrText>
      </w:r>
      <w:r>
        <w:rPr>
          <w:rFonts w:asciiTheme="majorBidi" w:hAnsiTheme="majorBidi" w:cs="Times New Roman"/>
        </w:rPr>
        <w:fldChar w:fldCharType="separate"/>
      </w:r>
      <w:r w:rsidRPr="00385F3C">
        <w:rPr>
          <w:rFonts w:asciiTheme="majorBidi" w:hAnsiTheme="majorBidi" w:cs="Times New Roman"/>
          <w:szCs w:val="24"/>
        </w:rPr>
        <w:t xml:space="preserve">Tim Aswaja NU Center PWNU Jawa Timur, </w:t>
      </w:r>
      <w:r w:rsidRPr="00385F3C">
        <w:rPr>
          <w:rFonts w:asciiTheme="majorBidi" w:hAnsiTheme="majorBidi" w:cs="Times New Roman"/>
          <w:i/>
          <w:iCs/>
          <w:szCs w:val="24"/>
        </w:rPr>
        <w:t>Khazanah Aswaja,</w:t>
      </w:r>
      <w:r w:rsidRPr="00385F3C">
        <w:rPr>
          <w:rFonts w:asciiTheme="majorBidi" w:hAnsiTheme="majorBidi" w:cs="Times New Roman"/>
          <w:szCs w:val="24"/>
        </w:rPr>
        <w:t xml:space="preserve"> (Jawa Timur: Aswaja NU Center PWNU Jawa Timur, 2016), hal. 43-44.</w:t>
      </w:r>
      <w:r>
        <w:rPr>
          <w:rFonts w:asciiTheme="majorBidi" w:hAnsiTheme="majorBidi" w:cs="Times New Roman"/>
        </w:rPr>
        <w:fldChar w:fldCharType="end"/>
      </w:r>
    </w:p>
  </w:footnote>
  <w:footnote w:id="4">
    <w:p w14:paraId="3F12A2EF" w14:textId="77777777" w:rsidR="00754C61" w:rsidRDefault="00754C61" w:rsidP="00754C61">
      <w:pPr>
        <w:pStyle w:val="FootnoteText"/>
        <w:ind w:firstLine="720"/>
        <w:jc w:val="both"/>
      </w:pPr>
      <w:r w:rsidRPr="00793B8D">
        <w:rPr>
          <w:rStyle w:val="FootnoteReference"/>
          <w:rFonts w:asciiTheme="majorBidi" w:hAnsiTheme="majorBidi"/>
        </w:rPr>
        <w:footnoteRef/>
      </w:r>
      <w:r w:rsidRPr="00793B8D">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{"citationID":"BZgLR8s8","properties":{"custom":"Miftahul Ulum and Abd Wahid HS, \\uc0\\u8220{}Fikih Organisasi (Reaktualisasi Sejarah Nahdhatul Ulama (NU) Di Indonesia),\\uc0\\u8221{} {\\i{}Jurnal Al-Insyiroh: Jurnal Studi Keislaman,} Vol. 5, No. 2, (2019), hal. 54.","formattedCitation":"Miftahul Ulum and Abd Wahid HS, \\uc0\\u8220{}Fikih Organisasi (Reaktualisasi Sejarah Nahdhatul Ulama (NU) Di Indonesia),\\uc0\\u8221{} {\\i{}Jurnal Al-Insyiroh: Jurnal Studi Keislaman,} Vol. 5, No. 2, (2019), hal. 54.","plainCitation":"Miftahul Ulum and Abd Wahid HS, “Fikih Organisasi (Reaktualisasi Sejarah Nahdhatul Ulama (NU) Di Indonesia),” Jurnal Al-Insyiroh: Jurnal Studi Keislaman, Vol. 5, No. 2, (2019), hal. 54.","noteIndex":4},"citationItems":[{"id":68,"uris":["http://zotero.org/users/local/7ME6pr6f/items/HQHR2ZJT"],"uri":["http://zotero.org/users/local/7ME6pr6f/items/HQHR2ZJT"],"itemData":{"id":68,"type":"article-journal","container-title":"Jurnal Al-Insyiroh: Jurnal Studi Keislaman","issue":"2","page":"54-75","title":"Fikih Organisasi (Reaktualisasi Sejarah Nahdhatul Ulama (NU) di Indonesia)","volume":"Vol. 5","author":[{"family":"Ulum","given":"Miftahul"},{"family":"Wahid HS","given":"Abd"}],"issued":{"date-parts":[["2019"]]}},"locator":"hal. 54","label":"page"}],"schema":"https://github.com/citation-style-language/schema/raw/master/csl-citation.json"} </w:instrText>
      </w:r>
      <w:r>
        <w:rPr>
          <w:rFonts w:asciiTheme="majorBidi" w:hAnsiTheme="majorBidi" w:cs="Times New Roman"/>
        </w:rPr>
        <w:fldChar w:fldCharType="separate"/>
      </w:r>
      <w:r w:rsidRPr="00793B8D">
        <w:rPr>
          <w:rFonts w:asciiTheme="majorBidi" w:hAnsiTheme="majorBidi" w:cs="Times New Roman"/>
          <w:szCs w:val="24"/>
        </w:rPr>
        <w:t xml:space="preserve">Miftahul Ulum and Abd Wahid HS, “Fikih Organisasi (Reaktualisasi Sejarah Nahdhatul Ulama (NU) Di Indonesia),” </w:t>
      </w:r>
      <w:r w:rsidRPr="00793B8D">
        <w:rPr>
          <w:rFonts w:asciiTheme="majorBidi" w:hAnsiTheme="majorBidi" w:cs="Times New Roman"/>
          <w:i/>
          <w:iCs/>
          <w:szCs w:val="24"/>
        </w:rPr>
        <w:t>Jurnal Al-Insyiroh: Jurnal Studi Keislaman,</w:t>
      </w:r>
      <w:r w:rsidRPr="00793B8D">
        <w:rPr>
          <w:rFonts w:asciiTheme="majorBidi" w:hAnsiTheme="majorBidi" w:cs="Times New Roman"/>
          <w:szCs w:val="24"/>
        </w:rPr>
        <w:t xml:space="preserve"> Vol. 5, No. 2, (2019), hal. 54.</w:t>
      </w:r>
      <w:r>
        <w:rPr>
          <w:rFonts w:asciiTheme="majorBidi" w:hAnsiTheme="majorBidi" w:cs="Times New Roman"/>
        </w:rPr>
        <w:fldChar w:fldCharType="end"/>
      </w:r>
    </w:p>
  </w:footnote>
  <w:footnote w:id="5">
    <w:p w14:paraId="4901783A" w14:textId="77777777" w:rsidR="00754C61" w:rsidRDefault="00754C61" w:rsidP="00754C61">
      <w:pPr>
        <w:pStyle w:val="FootnoteText"/>
        <w:ind w:firstLine="720"/>
        <w:jc w:val="both"/>
      </w:pPr>
      <w:r w:rsidRPr="00982C2F">
        <w:rPr>
          <w:rStyle w:val="FootnoteReference"/>
          <w:rFonts w:asciiTheme="majorBidi" w:hAnsiTheme="majorBidi"/>
        </w:rPr>
        <w:footnoteRef/>
      </w:r>
      <w:r w:rsidRPr="00982C2F">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{"citationID":"TqHvSpNl","properties":{"custom":"A. Jauhar Fuad, \\uc0\\u8220{}Akar Sejarah Moderasi Islam Pada Nahdhatul Ulama,\\uc0\\u8221{} {\\i{}Tribakti: Jurnal Pemikiran Islam,} Vol. 31, No. 1, (2020), hal.157.","formattedCitation":"A. Jauhar Fuad, \\uc0\\u8220{}Akar Sejarah Moderasi Islam Pada Nahdhatul Ulama,\\uc0\\u8221{} {\\i{}Tribakti: Jurnal Pemikiran Islam,} Vol. 31, No. 1, (2020), hal.157.","plainCitation":"A. Jauhar Fuad, “Akar Sejarah Moderasi Islam Pada Nahdhatul Ulama,” Tribakti: Jurnal Pemikiran Islam, Vol. 31, No. 1, (2020), hal.157.","noteIndex":5},"citationItems":[{"id":69,"uris":["http://zotero.org/users/local/7ME6pr6f/items/ATQCKQ3I"],"uri":["http://zotero.org/users/local/7ME6pr6f/items/ATQCKQ3I"],"itemData":{"id":69,"type":"article-journal","container-title":"Tribakti: Jurnal Pemikiran Islam","issue":"1","page":"153-168","title":"Akar Sejarah Moderasi Islam Pada Nahdhatul Ulama","volume":"Vol. 31","author":[{"family":"Fuad","given":"A. Jauhar"}],"issued":{"date-parts":[["2020"]]}},"locator":"hal.157","label":"page"}],"schema":"https://github.com/citation-style-language/schema/raw/master/csl-citation.json"} </w:instrText>
      </w:r>
      <w:r>
        <w:rPr>
          <w:rFonts w:asciiTheme="majorBidi" w:hAnsiTheme="majorBidi" w:cs="Times New Roman"/>
        </w:rPr>
        <w:fldChar w:fldCharType="separate"/>
      </w:r>
      <w:r w:rsidRPr="00982C2F">
        <w:rPr>
          <w:rFonts w:asciiTheme="majorBidi" w:hAnsiTheme="majorBidi" w:cs="Times New Roman"/>
          <w:szCs w:val="24"/>
        </w:rPr>
        <w:t xml:space="preserve">A. Jauhar Fuad, “Akar Sejarah Moderasi Islam Pada Nahdhatul Ulama,” </w:t>
      </w:r>
      <w:r w:rsidRPr="00982C2F">
        <w:rPr>
          <w:rFonts w:asciiTheme="majorBidi" w:hAnsiTheme="majorBidi" w:cs="Times New Roman"/>
          <w:i/>
          <w:iCs/>
          <w:szCs w:val="24"/>
        </w:rPr>
        <w:t>Tribakti: Jurnal Pemikiran Islam,</w:t>
      </w:r>
      <w:r w:rsidRPr="00982C2F">
        <w:rPr>
          <w:rFonts w:asciiTheme="majorBidi" w:hAnsiTheme="majorBidi" w:cs="Times New Roman"/>
          <w:szCs w:val="24"/>
        </w:rPr>
        <w:t xml:space="preserve"> Vol. 31, No. 1, (2020), hal.157.</w:t>
      </w:r>
      <w:r>
        <w:rPr>
          <w:rFonts w:asciiTheme="majorBidi" w:hAnsiTheme="majorBidi" w:cs="Times New Roman"/>
        </w:rPr>
        <w:fldChar w:fldCharType="end"/>
      </w:r>
    </w:p>
  </w:footnote>
  <w:footnote w:id="6">
    <w:p w14:paraId="586E14E6" w14:textId="77777777" w:rsidR="00754C61" w:rsidRDefault="00754C61" w:rsidP="00754C61">
      <w:pPr>
        <w:pStyle w:val="FootnoteText"/>
        <w:ind w:firstLine="720"/>
      </w:pPr>
      <w:r w:rsidRPr="00795946">
        <w:rPr>
          <w:rStyle w:val="FootnoteReference"/>
          <w:rFonts w:asciiTheme="majorBidi" w:hAnsiTheme="majorBidi"/>
        </w:rPr>
        <w:footnoteRef/>
      </w:r>
      <w:r w:rsidRPr="00795946">
        <w:rPr>
          <w:rFonts w:asciiTheme="majorBidi" w:hAnsiTheme="majorBidi" w:cs="Times New Roman"/>
        </w:rPr>
        <w:t xml:space="preserve"> Asyari, Nalar Politik NU-Muhamadiyah; </w:t>
      </w:r>
      <w:r w:rsidRPr="00795946">
        <w:rPr>
          <w:rFonts w:asciiTheme="majorBidi" w:hAnsiTheme="majorBidi" w:cs="Times New Roman"/>
          <w:i/>
          <w:iCs/>
        </w:rPr>
        <w:t>Overcrossing Java Sentris.</w:t>
      </w:r>
    </w:p>
  </w:footnote>
  <w:footnote w:id="7">
    <w:p w14:paraId="12248E81" w14:textId="77777777" w:rsidR="00754C61" w:rsidRDefault="00754C61" w:rsidP="00754C61">
      <w:pPr>
        <w:pStyle w:val="FootnoteText"/>
        <w:ind w:firstLine="720"/>
        <w:jc w:val="both"/>
      </w:pPr>
      <w:r w:rsidRPr="00703D36">
        <w:rPr>
          <w:rStyle w:val="FootnoteReference"/>
          <w:rFonts w:asciiTheme="majorBidi" w:hAnsiTheme="majorBidi"/>
        </w:rPr>
        <w:footnoteRef/>
      </w:r>
      <w:r w:rsidRPr="00703D36">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{"citationID":"HKBGo5je","properties":{"custom":"Muhammad Mustaqim, \\uc0\\u8220{}Politik Kebangsaan Kaum Santri: Studi Atas Kiprah Politik Nahdhatul Ulama,\\uc0\\u8221{} {\\i{}ADDIN} ,Vol. 9, No. 2, (2015),\nhal. 334.","formattedCitation":"Muhammad Mustaqim, \\uc0\\u8220{}Politik Kebangsaan Kaum Santri: Studi Atas Kiprah Politik Nahdhatul Ulama,\\uc0\\u8221{} {\\i{}ADDIN} ,Vol. 9, No. 2, (2015),\nhal. 334.","plainCitation":"Muhammad Mustaqim, “Politik Kebangsaan Kaum Santri: Studi Atas Kiprah Politik Nahdhatul Ulama,” ADDIN ,Vol. 9, No. 2, (2015),hal. 334.","noteIndex":7},"citationItems":[{"id":70,"uris":["http://zotero.org/users/local/7ME6pr6f/items/VWIGG79R"],"uri":["http://zotero.org/users/local/7ME6pr6f/items/VWIGG79R"],"itemData":{"id":70,"type":"article-journal","container-title":"ADDIN","issue":"2","page":"333-348","title":"Politik Kebangsaan Kaum Santri: Studi Atas Kiprah Politik Nahdhatul Ulama","volume":"Vol. 9","author":[{"family":"Mustaqim","given":"Muhammad"}],"issued":{"date-parts":[["2015"]]}},"locator":"hal. 334","label":"page"}],"schema":"https://github.com/citation-style-language/schema/raw/master/csl-citation.json"} </w:instrText>
      </w:r>
      <w:r>
        <w:rPr>
          <w:rFonts w:asciiTheme="majorBidi" w:hAnsiTheme="majorBidi" w:cs="Times New Roman"/>
        </w:rPr>
        <w:fldChar w:fldCharType="separate"/>
      </w:r>
      <w:r w:rsidRPr="00703D36">
        <w:rPr>
          <w:rFonts w:asciiTheme="majorBidi" w:hAnsiTheme="majorBidi" w:cs="Times New Roman"/>
          <w:szCs w:val="24"/>
        </w:rPr>
        <w:t xml:space="preserve">Muhammad Mustaqim, “Politik Kebangsaan Kaum Santri: Studi Atas Kiprah Politik Nahdhatul Ulama,” </w:t>
      </w:r>
      <w:proofErr w:type="gramStart"/>
      <w:r w:rsidRPr="00703D36">
        <w:rPr>
          <w:rFonts w:asciiTheme="majorBidi" w:hAnsiTheme="majorBidi" w:cs="Times New Roman"/>
          <w:i/>
          <w:iCs/>
          <w:szCs w:val="24"/>
        </w:rPr>
        <w:t>ADDIN</w:t>
      </w:r>
      <w:r w:rsidRPr="00703D36">
        <w:rPr>
          <w:rFonts w:asciiTheme="majorBidi" w:hAnsiTheme="majorBidi" w:cs="Times New Roman"/>
          <w:szCs w:val="24"/>
        </w:rPr>
        <w:t xml:space="preserve"> ,</w:t>
      </w:r>
      <w:proofErr w:type="gramEnd"/>
      <w:r w:rsidRPr="00703D36">
        <w:rPr>
          <w:rFonts w:asciiTheme="majorBidi" w:hAnsiTheme="majorBidi" w:cs="Times New Roman"/>
          <w:szCs w:val="24"/>
        </w:rPr>
        <w:t>Vol. 9, No. 2, (2015),hal. 334.</w:t>
      </w:r>
      <w:r>
        <w:rPr>
          <w:rFonts w:asciiTheme="majorBidi" w:hAnsiTheme="majorBidi" w:cs="Times New Roman"/>
        </w:rPr>
        <w:fldChar w:fldCharType="end"/>
      </w:r>
    </w:p>
  </w:footnote>
  <w:footnote w:id="8">
    <w:p w14:paraId="1F7BA143" w14:textId="77777777" w:rsidR="00754C61" w:rsidRDefault="00754C61" w:rsidP="00754C61">
      <w:pPr>
        <w:pStyle w:val="FootnoteText"/>
        <w:ind w:firstLine="720"/>
        <w:jc w:val="both"/>
      </w:pPr>
      <w:r w:rsidRPr="00C71122">
        <w:rPr>
          <w:rStyle w:val="FootnoteReference"/>
          <w:rFonts w:asciiTheme="majorBidi" w:hAnsiTheme="majorBidi"/>
        </w:rPr>
        <w:footnoteRef/>
      </w:r>
      <w:r w:rsidRPr="00C71122">
        <w:rPr>
          <w:rFonts w:asciiTheme="majorBidi" w:hAnsiTheme="majorBidi" w:cs="Times New Roman"/>
        </w:rPr>
        <w:t xml:space="preserve"> </w:t>
      </w:r>
      <w:r w:rsidRPr="00C71122">
        <w:rPr>
          <w:rFonts w:asciiTheme="majorBidi" w:hAnsiTheme="majorBidi" w:cs="Times New Roman"/>
        </w:rPr>
        <w:fldChar w:fldCharType="begin"/>
      </w:r>
      <w:r w:rsidRPr="00C71122">
        <w:rPr>
          <w:rFonts w:asciiTheme="majorBidi" w:hAnsiTheme="majorBidi" w:cs="Times New Roman"/>
        </w:rPr>
        <w:instrText xml:space="preserve"> ADDIN ZOTERO_ITEM CSL_CITATION {"citationID":"zIWaFpSd","properties":{"custom":"Ahmad Robihan, \\uc0\\u8220{}Anti Kekerasan di Sekolah Melalui Internalisasi Prinsip Aswaja Annahdliyah,\\uc0\\u8221{} {\\i{}Jurnal Al Qalam,} Vol. 19, No. 2, (2018), hal. 49.","formattedCitation":"Ahmad Robihan, \\uc0\\u8220{}Anti Kekerasan di Sekolah Melalui Internalisasi Prinsip Aswaja Annahdliyah,\\uc0\\u8221{} {\\i{}Jurnal Al Qalam,} Vol. 19, No. 2, (2018), hal. 49.","plainCitation":"Ahmad Robihan, “Anti Kekerasan di Sekolah Melalui Internalisasi Prinsip Aswaja Annahdliyah,” Jurnal Al Qalam, Vol. 19, No. 2, (2018), hal. 49.","noteIndex":8},"citationItems":[{"id":101,"uris":["http://zotero.org/users/local/7ME6pr6f/items/XKIXKKS2"],"uri":["http://zotero.org/users/local/7ME6pr6f/items/XKIXKKS2"],"itemData":{"id":101,"type":"article-journal","container-title":"Jurnal Al Qalam","issue":"2","page":"35-56","title":"Anti Kekerasan di Sekolah Melalui Internalisasi Prinsip Aswaja Annahdliyah","volume":"Vol. 19","author":[{"family":"Robihan","given":"Ahmad"}],"issued":{"date-parts":[["2018"]]}},"locator":"hal. 49","label":"page"}],"schema":"https://github.com/citation-style-language/schema/raw/master/csl-citation.json"} </w:instrText>
      </w:r>
      <w:r w:rsidRPr="00C71122">
        <w:rPr>
          <w:rFonts w:asciiTheme="majorBidi" w:hAnsiTheme="majorBidi" w:cs="Times New Roman"/>
        </w:rPr>
        <w:fldChar w:fldCharType="separate"/>
      </w:r>
      <w:r w:rsidRPr="00C71122">
        <w:rPr>
          <w:rFonts w:asciiTheme="majorBidi" w:hAnsiTheme="majorBidi" w:cs="Times New Roman"/>
          <w:szCs w:val="24"/>
        </w:rPr>
        <w:t xml:space="preserve">Ahmad Robihan, “Anti Kekerasan di Sekolah Melalui Internalisasi Prinsip Aswaja Annahdliyah,” </w:t>
      </w:r>
      <w:r w:rsidRPr="00C71122">
        <w:rPr>
          <w:rFonts w:asciiTheme="majorBidi" w:hAnsiTheme="majorBidi" w:cs="Times New Roman"/>
          <w:i/>
          <w:iCs/>
          <w:szCs w:val="24"/>
        </w:rPr>
        <w:t>Jurnal Al Qalam,</w:t>
      </w:r>
      <w:r w:rsidRPr="00C71122">
        <w:rPr>
          <w:rFonts w:asciiTheme="majorBidi" w:hAnsiTheme="majorBidi" w:cs="Times New Roman"/>
          <w:szCs w:val="24"/>
        </w:rPr>
        <w:t xml:space="preserve"> Vol. 19, No. 2, (2018), hal. 49.</w:t>
      </w:r>
      <w:r w:rsidRPr="00C71122">
        <w:rPr>
          <w:rFonts w:asciiTheme="majorBidi" w:hAnsiTheme="majorBidi" w:cs="Times New Roman"/>
        </w:rPr>
        <w:fldChar w:fldCharType="end"/>
      </w:r>
    </w:p>
  </w:footnote>
  <w:footnote w:id="9">
    <w:p w14:paraId="64E65C3B" w14:textId="77777777" w:rsidR="00754C61" w:rsidRDefault="00754C61" w:rsidP="00754C61">
      <w:pPr>
        <w:pStyle w:val="FootnoteText"/>
        <w:ind w:firstLine="720"/>
        <w:jc w:val="both"/>
      </w:pPr>
      <w:r w:rsidRPr="00C71122">
        <w:rPr>
          <w:rStyle w:val="FootnoteReference"/>
          <w:rFonts w:asciiTheme="majorBidi" w:hAnsiTheme="majorBidi"/>
        </w:rPr>
        <w:footnoteRef/>
      </w:r>
      <w:r w:rsidRPr="00C71122">
        <w:rPr>
          <w:rFonts w:asciiTheme="majorBidi" w:hAnsiTheme="majorBidi" w:cs="Times New Roman"/>
        </w:rPr>
        <w:t xml:space="preserve"> </w:t>
      </w:r>
      <w:r w:rsidRPr="00C71122">
        <w:rPr>
          <w:rFonts w:asciiTheme="majorBidi" w:hAnsiTheme="majorBidi" w:cs="Times New Roman"/>
        </w:rPr>
        <w:fldChar w:fldCharType="begin"/>
      </w:r>
      <w:r w:rsidRPr="00C71122">
        <w:rPr>
          <w:rFonts w:asciiTheme="majorBidi" w:hAnsiTheme="majorBidi" w:cs="Times New Roman"/>
        </w:rPr>
        <w:instrText xml:space="preserve"> ADDIN ZOTERO_ITEM CSL_CITATION {"citationID":"8Fh53hxi","properties":{"custom":"Ahmad Novi, M. Zainuddin Alanshari, dan Ahamad Suyuthi, \\uc0\\u8220{}Implementasi Prinsip At-Tawasuth Ahlussunnah wal Jama\\uc0\\u8217{}ah Annahdliyah dalam Kegiatan Keagamaan,\\uc0\\u8221{} {\\i{}Sawabiq: Jurnal Keislaman,} Vol. 1, No. 1, (2020), hal. 6.","formattedCitation":"Ahmad Novi, M. Zainuddin Alanshari, dan Ahamad Suyuthi, \\uc0\\u8220{}Implementasi Prinsip At-Tawasuth Ahlussunnah wal Jama\\uc0\\u8217{}ah Annahdliyah dalam Kegiatan Keagamaan,\\uc0\\u8221{} {\\i{}Sawabiq: Jurnal Keislaman,} Vol. 1, No. 1, (2020), hal. 6.","plainCitation":"Ahmad Novi, M. Zainuddin Alanshari, dan Ahamad Suyuthi, “Implementasi Prinsip At-Tawasuth Ahlussunnah wal Jama’ah Annahdliyah dalam Kegiatan Keagamaan,” Sawabiq: Jurnal Keislaman, Vol. 1, No. 1, (2020), hal. 6.","noteIndex":9},"citationItems":[{"id":102,"uris":["http://zotero.org/users/local/7ME6pr6f/items/9JI48WWT"],"uri":["http://zotero.org/users/local/7ME6pr6f/items/9JI48WWT"],"itemData":{"id":102,"type":"article-journal","container-title":"Sawabiq: Jurnal Keislaman","issue":"1","page":"1-9","title":"Implementasi Prinsip At-Tawasuth Ahlussunnah wal Jama'ah Annahdliyah dalam Kegiatan Keagamaan","volume":"Vol. 1","author":[{"family":"Novi","given":"Ahmad"},{"family":"Alanshari","given":"M. Zainuddin"},{"family":"Suyuthi","given":"Ahamad"}],"issued":{"date-parts":[["2020"]]}},"locator":"hal. 6","label":"page"}],"schema":"https://github.com/citation-style-language/schema/raw/master/csl-citation.json"} </w:instrText>
      </w:r>
      <w:r w:rsidRPr="00C71122">
        <w:rPr>
          <w:rFonts w:asciiTheme="majorBidi" w:hAnsiTheme="majorBidi" w:cs="Times New Roman"/>
        </w:rPr>
        <w:fldChar w:fldCharType="separate"/>
      </w:r>
      <w:r w:rsidRPr="00C71122">
        <w:rPr>
          <w:rFonts w:asciiTheme="majorBidi" w:hAnsiTheme="majorBidi" w:cs="Times New Roman"/>
          <w:szCs w:val="24"/>
        </w:rPr>
        <w:t xml:space="preserve">Ahmad Novi, M. Zainuddin Alanshari, dan Ahamad Suyuthi, “Implementasi Prinsip At-Tawasuth Ahlussunnah wal Jama’ah Annahdliyah dalam Kegiatan Keagamaan,” </w:t>
      </w:r>
      <w:r w:rsidRPr="00C71122">
        <w:rPr>
          <w:rFonts w:asciiTheme="majorBidi" w:hAnsiTheme="majorBidi" w:cs="Times New Roman"/>
          <w:i/>
          <w:iCs/>
          <w:szCs w:val="24"/>
        </w:rPr>
        <w:t>Sawabiq: Jurnal Keislaman,</w:t>
      </w:r>
      <w:r w:rsidRPr="00C71122">
        <w:rPr>
          <w:rFonts w:asciiTheme="majorBidi" w:hAnsiTheme="majorBidi" w:cs="Times New Roman"/>
          <w:szCs w:val="24"/>
        </w:rPr>
        <w:t xml:space="preserve"> Vol. 1, No. 1, (2020), hal. 6.</w:t>
      </w:r>
      <w:r w:rsidRPr="00C71122">
        <w:rPr>
          <w:rFonts w:asciiTheme="majorBidi" w:hAnsiTheme="majorBidi" w:cs="Times New Roman"/>
        </w:rPr>
        <w:fldChar w:fldCharType="end"/>
      </w:r>
    </w:p>
  </w:footnote>
  <w:footnote w:id="10">
    <w:p w14:paraId="746D3BEA" w14:textId="77777777" w:rsidR="00754C61" w:rsidRDefault="00754C61" w:rsidP="00754C61">
      <w:pPr>
        <w:pStyle w:val="FootnoteText"/>
        <w:ind w:firstLine="720"/>
        <w:jc w:val="both"/>
      </w:pPr>
      <w:r w:rsidRPr="00C2366B">
        <w:rPr>
          <w:rStyle w:val="FootnoteReference"/>
          <w:rFonts w:asciiTheme="majorBidi" w:hAnsiTheme="majorBidi"/>
        </w:rPr>
        <w:footnoteRef/>
      </w:r>
      <w:r w:rsidRPr="00C2366B">
        <w:rPr>
          <w:rFonts w:asciiTheme="majorBidi" w:hAnsiTheme="majorBidi" w:cs="Times New Roman"/>
        </w:rPr>
        <w:t xml:space="preserve"> </w:t>
      </w:r>
      <w:r w:rsidRPr="00C2366B">
        <w:rPr>
          <w:rFonts w:asciiTheme="majorBidi" w:hAnsiTheme="majorBidi" w:cs="Times New Roman"/>
        </w:rPr>
        <w:fldChar w:fldCharType="begin"/>
      </w:r>
      <w:r w:rsidRPr="00C2366B">
        <w:rPr>
          <w:rFonts w:asciiTheme="majorBidi" w:hAnsiTheme="majorBidi" w:cs="Times New Roman"/>
        </w:rPr>
        <w:instrText xml:space="preserve"> ADDIN ZOTERO_ITEM CSL_CITATION {"citationID":"TNVWJEYr","properties":{"formattedCitation":"Robihan, \\uc0\\u8220{}Anti Kekerasan di Sekolah Melalui Internalisasi Prinsip Aswaja Annahdliyah,\\uc0\\u8221{} hal. 51.","plainCitation":"Robihan, “Anti Kekerasan di Sekolah Melalui Internalisasi Prinsip Aswaja Annahdliyah,” hal. 51.","noteIndex":10},"citationItems":[{"id":101,"uris":["http://zotero.org/users/local/7ME6pr6f/items/XKIXKKS2"],"uri":["http://zotero.org/users/local/7ME6pr6f/items/XKIXKKS2"],"itemData":{"id":101,"type":"article-journal","container-title":"Jurnal Al Qalam","issue":"2","page":"35-56","title":"Anti Kekerasan di Sekolah Melalui Internalisasi Prinsip Aswaja Annahdliyah","volume":"Vol. 19","author":[{"family":"Robihan","given":"Ahmad"}],"issued":{"date-parts":[["2018"]]}},"locator":"hal. 51","label":"page"}],"schema":"https://github.com/citation-style-language/schema/raw/master/csl-citation.json"} </w:instrText>
      </w:r>
      <w:r w:rsidRPr="00C2366B">
        <w:rPr>
          <w:rFonts w:asciiTheme="majorBidi" w:hAnsiTheme="majorBidi" w:cs="Times New Roman"/>
        </w:rPr>
        <w:fldChar w:fldCharType="separate"/>
      </w:r>
      <w:r w:rsidRPr="00C2366B">
        <w:rPr>
          <w:rFonts w:asciiTheme="majorBidi" w:hAnsiTheme="majorBidi" w:cs="Times New Roman"/>
          <w:szCs w:val="24"/>
        </w:rPr>
        <w:t>Robihan, “Anti Kekerasan di Sekolah Melalui Internalisasi Prinsip Aswaja Annahdliyah,” hal. 51.</w:t>
      </w:r>
      <w:r w:rsidRPr="00C2366B">
        <w:rPr>
          <w:rFonts w:asciiTheme="majorBidi" w:hAnsiTheme="majorBidi" w:cs="Times New Roman"/>
        </w:rPr>
        <w:fldChar w:fldCharType="end"/>
      </w:r>
    </w:p>
  </w:footnote>
  <w:footnote w:id="11">
    <w:p w14:paraId="1DA08336" w14:textId="77777777" w:rsidR="00754C61" w:rsidRDefault="00754C61" w:rsidP="00754C61">
      <w:pPr>
        <w:pStyle w:val="FootnoteText"/>
        <w:ind w:firstLine="720"/>
        <w:jc w:val="both"/>
      </w:pPr>
      <w:r w:rsidRPr="00FD6623">
        <w:rPr>
          <w:rStyle w:val="FootnoteReference"/>
          <w:rFonts w:asciiTheme="majorBidi" w:hAnsiTheme="majorBidi"/>
        </w:rPr>
        <w:footnoteRef/>
      </w:r>
      <w:r w:rsidRPr="00FD6623">
        <w:rPr>
          <w:rFonts w:asciiTheme="majorBidi" w:hAnsiTheme="majorBidi" w:cs="Times New Roman"/>
        </w:rPr>
        <w:t xml:space="preserve"> </w:t>
      </w:r>
      <w:r w:rsidRPr="00FD6623">
        <w:rPr>
          <w:rFonts w:asciiTheme="majorBidi" w:hAnsiTheme="majorBidi" w:cs="Times New Roman"/>
        </w:rPr>
        <w:fldChar w:fldCharType="begin"/>
      </w:r>
      <w:r w:rsidRPr="00FD6623">
        <w:rPr>
          <w:rFonts w:asciiTheme="majorBidi" w:hAnsiTheme="majorBidi" w:cs="Times New Roman"/>
        </w:rPr>
        <w:instrText xml:space="preserve"> ADDIN ZOTERO_ITEM CSL_CITATION {"citationID":"cBy83as9","properties":{"custom":"Muhammad Fahmi, \\uc0\\u8220{}Pendidikan Aswaja NU Dalam Konteks Pluralisme,\\uc0\\u8221{} {\\i{}Jurnal Pendidikan Agama Islam,} Vol. 1, No. 1, (2013), hal. 171.","formattedCitation":"Muhammad Fahmi, \\uc0\\u8220{}Pendidikan Aswaja NU Dalam Konteks Pluralisme,\\uc0\\u8221{} {\\i{}Jurnal Pendidikan Agama Islam,} Vol. 1, No. 1, (2013), hal. 171.","plainCitation":"Muhammad Fahmi, “Pendidikan Aswaja NU Dalam Konteks Pluralisme,” Jurnal Pendidikan Agama Islam, Vol. 1, No. 1, (2013), hal. 171.","noteIndex":11},"citationItems":[{"id":103,"uris":["http://zotero.org/users/local/7ME6pr6f/items/2DGLYKWW"],"uri":["http://zotero.org/users/local/7ME6pr6f/items/2DGLYKWW"],"itemData":{"id":103,"type":"article-journal","container-title":"Jurnal Pendidikan Agama Islam","issue":"1","page":"162-179","title":"Pendidikan Aswaja NU Dalam Konteks Pluralisme","volume":"Vol. 1","author":[{"family":"Fahmi","given":"Muhammad"}],"issued":{"date-parts":[["2013"]]}},"locator":"hal. 171","label":"page"}],"schema":"https://github.com/citation-style-language/schema/raw/master/csl-citation.json"} </w:instrText>
      </w:r>
      <w:r w:rsidRPr="00FD6623">
        <w:rPr>
          <w:rFonts w:asciiTheme="majorBidi" w:hAnsiTheme="majorBidi" w:cs="Times New Roman"/>
        </w:rPr>
        <w:fldChar w:fldCharType="separate"/>
      </w:r>
      <w:r w:rsidRPr="00FD6623">
        <w:rPr>
          <w:rFonts w:asciiTheme="majorBidi" w:hAnsiTheme="majorBidi" w:cs="Times New Roman"/>
          <w:szCs w:val="24"/>
        </w:rPr>
        <w:t xml:space="preserve">Muhammad Fahmi, “Pendidikan Aswaja NU Dalam Konteks Pluralisme,” </w:t>
      </w:r>
      <w:r w:rsidRPr="00FD6623">
        <w:rPr>
          <w:rFonts w:asciiTheme="majorBidi" w:hAnsiTheme="majorBidi" w:cs="Times New Roman"/>
          <w:i/>
          <w:iCs/>
          <w:szCs w:val="24"/>
        </w:rPr>
        <w:t>Jurnal Pendidikan Agama Islam,</w:t>
      </w:r>
      <w:r w:rsidRPr="00FD6623">
        <w:rPr>
          <w:rFonts w:asciiTheme="majorBidi" w:hAnsiTheme="majorBidi" w:cs="Times New Roman"/>
          <w:szCs w:val="24"/>
        </w:rPr>
        <w:t xml:space="preserve"> Vol. 1, No. 1, (2013), hal. 171.</w:t>
      </w:r>
      <w:r w:rsidRPr="00FD6623">
        <w:rPr>
          <w:rFonts w:asciiTheme="majorBidi" w:hAnsiTheme="majorBidi" w:cs="Times New Roman"/>
        </w:rPr>
        <w:fldChar w:fldCharType="end"/>
      </w:r>
    </w:p>
  </w:footnote>
  <w:footnote w:id="12">
    <w:p w14:paraId="31D66431" w14:textId="77777777" w:rsidR="00754C61" w:rsidRDefault="00754C61" w:rsidP="00754C61">
      <w:pPr>
        <w:pStyle w:val="FootnoteText"/>
        <w:ind w:firstLine="720"/>
        <w:jc w:val="both"/>
      </w:pPr>
      <w:r w:rsidRPr="009A7C57">
        <w:rPr>
          <w:rStyle w:val="FootnoteReference"/>
          <w:rFonts w:asciiTheme="majorBidi" w:hAnsiTheme="majorBidi"/>
        </w:rPr>
        <w:footnoteRef/>
      </w:r>
      <w:r w:rsidRPr="009A7C57">
        <w:rPr>
          <w:rFonts w:asciiTheme="majorBidi" w:hAnsiTheme="majorBidi" w:cs="Times New Roman"/>
        </w:rPr>
        <w:t xml:space="preserve"> </w:t>
      </w:r>
      <w:r w:rsidRPr="009A7C57">
        <w:rPr>
          <w:rFonts w:asciiTheme="majorBidi" w:hAnsiTheme="majorBidi" w:cs="Times New Roman"/>
        </w:rPr>
        <w:fldChar w:fldCharType="begin"/>
      </w:r>
      <w:r w:rsidRPr="009A7C57">
        <w:rPr>
          <w:rFonts w:asciiTheme="majorBidi" w:hAnsiTheme="majorBidi" w:cs="Times New Roman"/>
        </w:rPr>
        <w:instrText xml:space="preserve"> ADDIN ZOTERO_ITEM CSL_CITATION {"citationID":"Dx5uH5cz","properties":{"formattedCitation":"Robihan, \\uc0\\u8220{}Anti Kekerasan di Sekolah Melalui Internalisasi Prinsip Aswaja Annahdliyah,\\uc0\\u8221{} hal. 51.","plainCitation":"Robihan, “Anti Kekerasan di Sekolah Melalui Internalisasi Prinsip Aswaja Annahdliyah,” hal. 51.","noteIndex":12},"citationItems":[{"id":101,"uris":["http://zotero.org/users/local/7ME6pr6f/items/XKIXKKS2"],"uri":["http://zotero.org/users/local/7ME6pr6f/items/XKIXKKS2"],"itemData":{"id":101,"type":"article-journal","container-title":"Jurnal Al Qalam","issue":"2","page":"35-56","title":"Anti Kekerasan di Sekolah Melalui Internalisasi Prinsip Aswaja Annahdliyah","volume":"Vol. 19","author":[{"family":"Robihan","given":"Ahmad"}],"issued":{"date-parts":[["2018"]]}},"locator":"hal. 51","label":"page"}],"schema":"https://github.com/citation-style-language/schema/raw/master/csl-citation.json"} </w:instrText>
      </w:r>
      <w:r w:rsidRPr="009A7C57">
        <w:rPr>
          <w:rFonts w:asciiTheme="majorBidi" w:hAnsiTheme="majorBidi" w:cs="Times New Roman"/>
        </w:rPr>
        <w:fldChar w:fldCharType="separate"/>
      </w:r>
      <w:r w:rsidRPr="009A7C57">
        <w:rPr>
          <w:rFonts w:asciiTheme="majorBidi" w:hAnsiTheme="majorBidi" w:cs="Times New Roman"/>
          <w:szCs w:val="24"/>
        </w:rPr>
        <w:t>Robihan, “Anti Kekerasan di Sekolah Melalui Internalisasi Prinsip Aswaja Annahdliyah,” hal. 51.</w:t>
      </w:r>
      <w:r w:rsidRPr="009A7C57">
        <w:rPr>
          <w:rFonts w:asciiTheme="majorBidi" w:hAnsiTheme="majorBidi" w:cs="Times New Roman"/>
        </w:rPr>
        <w:fldChar w:fldCharType="end"/>
      </w:r>
    </w:p>
  </w:footnote>
  <w:footnote w:id="13">
    <w:p w14:paraId="08CE80C6" w14:textId="77777777" w:rsidR="00754C61" w:rsidRDefault="00754C61" w:rsidP="00754C61">
      <w:pPr>
        <w:pStyle w:val="FootnoteText"/>
        <w:ind w:firstLine="720"/>
        <w:jc w:val="both"/>
      </w:pPr>
      <w:r w:rsidRPr="00CF2098">
        <w:rPr>
          <w:rStyle w:val="FootnoteReference"/>
          <w:rFonts w:asciiTheme="majorBidi" w:hAnsiTheme="majorBidi"/>
        </w:rPr>
        <w:footnoteRef/>
      </w:r>
      <w:r w:rsidRPr="00CF2098">
        <w:rPr>
          <w:rFonts w:asciiTheme="majorBidi" w:hAnsiTheme="majorBidi" w:cs="Times New Roman"/>
        </w:rPr>
        <w:t xml:space="preserve"> </w:t>
      </w:r>
      <w:r w:rsidRPr="00CF2098">
        <w:rPr>
          <w:rFonts w:asciiTheme="majorBidi" w:hAnsiTheme="majorBidi" w:cs="Times New Roman"/>
        </w:rPr>
        <w:fldChar w:fldCharType="begin"/>
      </w:r>
      <w:r w:rsidRPr="00CF2098">
        <w:rPr>
          <w:rFonts w:asciiTheme="majorBidi" w:hAnsiTheme="majorBidi" w:cs="Times New Roman"/>
        </w:rPr>
        <w:instrText xml:space="preserve"> ADDIN ZOTERO_ITEM CSL_CITATION {"citationID":"aeOhRehL","properties":{"custom":"Nailul Khikam, AH dan Hilyah Ashoumi, \\uc0\\u8220{}Pola Pikir Santri Pondok Pesantren Al Muhajirin 3 Tambakberas Jombang Terhadap Ajaran Ahlusunnah Wal Jama\\uc0\\u8217{}ah (Aswaja) Tentang Tawasut Tawazun Dan Tasamuh.,\\uc0\\u8221{} {\\i{}Dinamika,} Vol. 4, No. 1, (2019), hal. 68.","formattedCitation":"Nailul Khikam, AH dan Hilyah Ashoumi, \\uc0\\u8220{}Pola Pikir Santri Pondok Pesantren Al Muhajirin 3 Tambakberas Jombang Terhadap Ajaran Ahlusunnah Wal Jama\\uc0\\u8217{}ah (Aswaja) Tentang Tawasut Tawazun Dan Tasamuh.,\\uc0\\u8221{} {\\i{}Dinamika,} Vol. 4, No. 1, (2019), hal. 68.","plainCitation":"Nailul Khikam, AH dan Hilyah Ashoumi, “Pola Pikir Santri Pondok Pesantren Al Muhajirin 3 Tambakberas Jombang Terhadap Ajaran Ahlusunnah Wal Jama’ah (Aswaja) Tentang Tawasut Tawazun Dan Tasamuh.,” Dinamika, Vol. 4, No. 1, (2019), hal. 68.","noteIndex":13},"citationItems":[{"id":104,"uris":["http://zotero.org/users/local/7ME6pr6f/items/3RXI6MUR"],"uri":["http://zotero.org/users/local/7ME6pr6f/items/3RXI6MUR"],"itemData":{"id":104,"type":"article-journal","container-title":"Dinamika","issue":"1","page":"55-74","title":"Pola Pikir Santri Pondok Pesantren Al Muhajirin 3 Tambakberas Jombang Terhadap Ajaran Ahlusunnah Wal Jama’ah (Aswaja) Tentang Tawasut Tawazun Dan Tasamuh.","volume":"Vol. 4","author":[{"family":"Khikam, AH","given":"Nailul"},{"family":"Ashoumi","given":"Hilyah"}],"issued":{"date-parts":[["2019"]]}},"locator":"hal. 68","label":"page"}],"schema":"https://github.com/citation-style-language/schema/raw/master/csl-citation.json"} </w:instrText>
      </w:r>
      <w:r w:rsidRPr="00CF2098">
        <w:rPr>
          <w:rFonts w:asciiTheme="majorBidi" w:hAnsiTheme="majorBidi" w:cs="Times New Roman"/>
        </w:rPr>
        <w:fldChar w:fldCharType="separate"/>
      </w:r>
      <w:r w:rsidRPr="00CF2098">
        <w:rPr>
          <w:rFonts w:asciiTheme="majorBidi" w:hAnsiTheme="majorBidi" w:cs="Times New Roman"/>
          <w:szCs w:val="24"/>
        </w:rPr>
        <w:t xml:space="preserve">Nailul Khikam, AH dan Hilyah Ashoumi, “Pola Pikir Santri Pondok Pesantren Al Muhajirin 3 Tambakberas Jombang Terhadap Ajaran Ahlusunnah Wal Jama’ah (Aswaja) Tentang Tawasut Tawazun Dan Tasamuh.,” </w:t>
      </w:r>
      <w:r w:rsidRPr="00CF2098">
        <w:rPr>
          <w:rFonts w:asciiTheme="majorBidi" w:hAnsiTheme="majorBidi" w:cs="Times New Roman"/>
          <w:i/>
          <w:iCs/>
          <w:szCs w:val="24"/>
        </w:rPr>
        <w:t>Dinamika,</w:t>
      </w:r>
      <w:r w:rsidRPr="00CF2098">
        <w:rPr>
          <w:rFonts w:asciiTheme="majorBidi" w:hAnsiTheme="majorBidi" w:cs="Times New Roman"/>
          <w:szCs w:val="24"/>
        </w:rPr>
        <w:t xml:space="preserve"> Vol. 4, No. 1, (2019), hal. 68.</w:t>
      </w:r>
      <w:r w:rsidRPr="00CF2098">
        <w:rPr>
          <w:rFonts w:asciiTheme="majorBidi" w:hAnsiTheme="majorBidi" w:cs="Times New Roman"/>
        </w:rPr>
        <w:fldChar w:fldCharType="end"/>
      </w:r>
    </w:p>
  </w:footnote>
  <w:footnote w:id="14">
    <w:p w14:paraId="752EDEA7" w14:textId="77777777" w:rsidR="00754C61" w:rsidRDefault="00754C61" w:rsidP="00754C61">
      <w:pPr>
        <w:pStyle w:val="FootnoteText"/>
        <w:ind w:firstLine="720"/>
        <w:jc w:val="both"/>
      </w:pPr>
      <w:r w:rsidRPr="00034856">
        <w:rPr>
          <w:rStyle w:val="FootnoteReference"/>
          <w:rFonts w:asciiTheme="majorBidi" w:hAnsiTheme="majorBidi"/>
        </w:rPr>
        <w:footnoteRef/>
      </w:r>
      <w:r w:rsidRPr="00034856">
        <w:rPr>
          <w:rFonts w:asciiTheme="majorBidi" w:hAnsiTheme="majorBidi" w:cs="Times New Roman"/>
        </w:rPr>
        <w:t xml:space="preserve"> </w:t>
      </w:r>
      <w:r w:rsidRPr="00034856">
        <w:rPr>
          <w:rFonts w:asciiTheme="majorBidi" w:hAnsiTheme="majorBidi" w:cs="Times New Roman"/>
        </w:rPr>
        <w:fldChar w:fldCharType="begin"/>
      </w:r>
      <w:r w:rsidRPr="00034856">
        <w:rPr>
          <w:rFonts w:asciiTheme="majorBidi" w:hAnsiTheme="majorBidi" w:cs="Times New Roman"/>
        </w:rPr>
        <w:instrText xml:space="preserve"> ADDIN ZOTERO_ITEM CSL_CITATION {"citationID":"xeLBsavp","properties":{"formattedCitation":"Robihan, \\uc0\\u8220{}Anti Kekerasan di Sekolah Melalui Internalisasi Prinsip Aswaja Annahdliyah,\\uc0\\u8221{} hal. 52.","plainCitation":"Robihan, “Anti Kekerasan di Sekolah Melalui Internalisasi Prinsip Aswaja Annahdliyah,” hal. 52.","noteIndex":14},"citationItems":[{"id":101,"uris":["http://zotero.org/users/local/7ME6pr6f/items/XKIXKKS2"],"uri":["http://zotero.org/users/local/7ME6pr6f/items/XKIXKKS2"],"itemData":{"id":101,"type":"article-journal","container-title":"Jurnal Al Qalam","issue":"2","page":"35-56","title":"Anti Kekerasan di Sekolah Melalui Internalisasi Prinsip Aswaja Annahdliyah","volume":"Vol. 19","author":[{"family":"Robihan","given":"Ahmad"}],"issued":{"date-parts":[["2018"]]}},"locator":"hal. 52","label":"page"}],"schema":"https://github.com/citation-style-language/schema/raw/master/csl-citation.json"} </w:instrText>
      </w:r>
      <w:r w:rsidRPr="00034856">
        <w:rPr>
          <w:rFonts w:asciiTheme="majorBidi" w:hAnsiTheme="majorBidi" w:cs="Times New Roman"/>
        </w:rPr>
        <w:fldChar w:fldCharType="separate"/>
      </w:r>
      <w:r w:rsidRPr="00034856">
        <w:rPr>
          <w:rFonts w:asciiTheme="majorBidi" w:hAnsiTheme="majorBidi" w:cs="Times New Roman"/>
          <w:szCs w:val="24"/>
        </w:rPr>
        <w:t>Robihan, “Anti Kekerasan di Sekolah Melalui Internalisasi Prinsip Aswaja Annahdliyah,” hal. 52.</w:t>
      </w:r>
      <w:r w:rsidRPr="00034856">
        <w:rPr>
          <w:rFonts w:asciiTheme="majorBidi" w:hAnsiTheme="majorBidi" w:cs="Times New Roman"/>
        </w:rPr>
        <w:fldChar w:fldCharType="end"/>
      </w:r>
    </w:p>
  </w:footnote>
  <w:footnote w:id="15">
    <w:p w14:paraId="2220ABC0" w14:textId="77777777" w:rsidR="00754C61" w:rsidRDefault="00754C61" w:rsidP="00754C61">
      <w:pPr>
        <w:pStyle w:val="FootnoteText"/>
        <w:ind w:firstLine="720"/>
        <w:jc w:val="both"/>
      </w:pPr>
      <w:r w:rsidRPr="005F3D28">
        <w:rPr>
          <w:rStyle w:val="FootnoteReference"/>
          <w:rFonts w:asciiTheme="majorBidi" w:hAnsiTheme="majorBidi"/>
        </w:rPr>
        <w:footnoteRef/>
      </w:r>
      <w:r w:rsidRPr="005F3D28">
        <w:rPr>
          <w:rFonts w:asciiTheme="majorBidi" w:hAnsiTheme="majorBidi" w:cs="Times New Roman"/>
        </w:rPr>
        <w:t xml:space="preserve"> </w:t>
      </w:r>
      <w:r w:rsidRPr="005F3D28">
        <w:rPr>
          <w:rFonts w:asciiTheme="majorBidi" w:hAnsiTheme="majorBidi" w:cs="Times New Roman"/>
        </w:rPr>
        <w:fldChar w:fldCharType="begin"/>
      </w:r>
      <w:r w:rsidRPr="005F3D28">
        <w:rPr>
          <w:rFonts w:asciiTheme="majorBidi" w:hAnsiTheme="majorBidi" w:cs="Times New Roman"/>
        </w:rPr>
        <w:instrText xml:space="preserve"> ADDIN ZOTERO_ITEM CSL_CITATION {"citationID":"N4ICMSRF","properties":{"formattedCitation":"kemdikbud, \\uc0\\u8220{}Kamus Besar Bahasa Indonesia (KBBI) Daring,\\uc0\\u8221{} 2021, https://kbbi.kemdikbud.go.id/entri/radikalisme.","plainCitation":"kemdikbud, “Kamus Besar Bahasa Indonesia (KBBI) Daring,” 2021, https://kbbi.kemdikbud.go.id/entri/radikalisme.","noteIndex":15},"citationItems":[{"id":76,"uris":["http://zotero.org/users/local/7ME6pr6f/items/TNA448TV"],"uri":["http://zotero.org/users/local/7ME6pr6f/items/TNA448TV"],"itemData":{"id":76,"type":"webpage","title":"Kamus Besar Bahasa Indonesia (KBBI) Daring","URL":"https://kbbi.kemdikbud.go.id/entri/radikalisme","author":[{"family":"kemdikbud","given":""}],"accessed":{"date-parts":[["2021",6,10]]},"issued":{"date-parts":[["2021"]]}}}],"schema":"https://github.com/citation-style-language/schema/raw/master/csl-citation.json"} </w:instrText>
      </w:r>
      <w:r w:rsidRPr="005F3D28">
        <w:rPr>
          <w:rFonts w:asciiTheme="majorBidi" w:hAnsiTheme="majorBidi" w:cs="Times New Roman"/>
        </w:rPr>
        <w:fldChar w:fldCharType="separate"/>
      </w:r>
      <w:r w:rsidRPr="005F3D28">
        <w:rPr>
          <w:rFonts w:asciiTheme="majorBidi" w:hAnsiTheme="majorBidi" w:cs="Times New Roman"/>
          <w:szCs w:val="24"/>
        </w:rPr>
        <w:t>kemdikbud, “Kamus Besar Bahasa Indonesia (KBBI) Daring,” 2021, https://kbbi.kemdikbud.go.id/entri/radikalisme.</w:t>
      </w:r>
      <w:r w:rsidRPr="005F3D28">
        <w:rPr>
          <w:rFonts w:asciiTheme="majorBidi" w:hAnsiTheme="majorBidi" w:cs="Times New Roman"/>
        </w:rPr>
        <w:fldChar w:fldCharType="end"/>
      </w:r>
    </w:p>
  </w:footnote>
  <w:footnote w:id="16">
    <w:p w14:paraId="5A699A9F" w14:textId="77777777" w:rsidR="00754C61" w:rsidRDefault="00754C61" w:rsidP="00754C61">
      <w:pPr>
        <w:pStyle w:val="FootnoteText"/>
        <w:ind w:firstLine="720"/>
        <w:jc w:val="both"/>
      </w:pPr>
      <w:r w:rsidRPr="000434D7">
        <w:rPr>
          <w:rStyle w:val="FootnoteReference"/>
          <w:rFonts w:asciiTheme="majorBidi" w:hAnsiTheme="majorBidi"/>
        </w:rPr>
        <w:footnoteRef/>
      </w:r>
      <w:r w:rsidRPr="000434D7">
        <w:rPr>
          <w:rFonts w:asciiTheme="majorBidi" w:hAnsiTheme="majorBidi" w:cs="Times New Roman"/>
        </w:rPr>
        <w:t xml:space="preserve"> </w:t>
      </w:r>
      <w:r w:rsidRPr="000434D7">
        <w:rPr>
          <w:rFonts w:asciiTheme="majorBidi" w:hAnsiTheme="majorBidi" w:cs="Times New Roman"/>
        </w:rPr>
        <w:fldChar w:fldCharType="begin"/>
      </w:r>
      <w:r w:rsidRPr="000434D7">
        <w:rPr>
          <w:rFonts w:asciiTheme="majorBidi" w:hAnsiTheme="majorBidi" w:cs="Times New Roman"/>
        </w:rPr>
        <w:instrText xml:space="preserve"> ADDIN ZOTERO_ITEM CSL_CITATION {"citationID":"QC4BLisz","properties":{"custom":"Muhammad Nu\\uc0\\u8217{}man Nurridho dan Umi Salamah, \\uc0\\u8220{}Aktualisasi Nilai Aswaja Nahdhatul Ulama dalam Mencegah Radikalisme,\\uc0\\u8221{} {\\i{}Advances in Humanities and Contemporary Studies,} Vol. 2, No. 1, (2021), hal. 69.","formattedCitation":"Muhammad Nu\\uc0\\u8217{}man Nurridho dan Umi Salamah, \\uc0\\u8220{}Aktualisasi Nilai Aswaja Nahdhatul Ulama dalam Mencegah Radikalisme,\\uc0\\u8221{} {\\i{}Advances in Humanities and Contemporary Studies,} Vol. 2, No. 1, (2021), hal. 69.","plainCitation":"Muhammad Nu’man Nurridho dan Umi Salamah, “Aktualisasi Nilai Aswaja Nahdhatul Ulama dalam Mencegah Radikalisme,” Advances in Humanities and Contemporary Studies, Vol. 2, No. 1, (2021), hal. 69.","noteIndex":16},"citationItems":[{"id":105,"uris":["http://zotero.org/users/local/7ME6pr6f/items/655SE5GB"],"uri":["http://zotero.org/users/local/7ME6pr6f/items/655SE5GB"],"itemData":{"id":105,"type":"article-journal","container-title":"Advances in Humanities and Contemporary Studies","issue":"1","page":"65-76","title":"Aktualisasi Nilai Aswaja Nahdhatul Ulama dalam Mencegah Radikalisme","volume":"Vol. 2","author":[{"family":"Nu'man Nurridho","given":"Muhammad"},{"family":"Salamah","given":"Umi"}],"issued":{"date-parts":[["2021"]]}},"locator":"hal. 69","label":"page"}],"schema":"https://github.com/citation-style-language/schema/raw/master/csl-citation.json"} </w:instrText>
      </w:r>
      <w:r w:rsidRPr="000434D7">
        <w:rPr>
          <w:rFonts w:asciiTheme="majorBidi" w:hAnsiTheme="majorBidi" w:cs="Times New Roman"/>
        </w:rPr>
        <w:fldChar w:fldCharType="separate"/>
      </w:r>
      <w:r w:rsidRPr="000434D7">
        <w:rPr>
          <w:rFonts w:asciiTheme="majorBidi" w:hAnsiTheme="majorBidi" w:cs="Times New Roman"/>
          <w:szCs w:val="24"/>
        </w:rPr>
        <w:t xml:space="preserve">Muhammad Nu’man Nurridho dan Umi Salamah, “Aktualisasi Nilai Aswaja Nahdhatul Ulama dalam Mencegah Radikalisme,” </w:t>
      </w:r>
      <w:r w:rsidRPr="000434D7">
        <w:rPr>
          <w:rFonts w:asciiTheme="majorBidi" w:hAnsiTheme="majorBidi" w:cs="Times New Roman"/>
          <w:i/>
          <w:iCs/>
          <w:szCs w:val="24"/>
        </w:rPr>
        <w:t>Advances in Humanities and Contemporary Studies,</w:t>
      </w:r>
      <w:r w:rsidRPr="000434D7">
        <w:rPr>
          <w:rFonts w:asciiTheme="majorBidi" w:hAnsiTheme="majorBidi" w:cs="Times New Roman"/>
          <w:szCs w:val="24"/>
        </w:rPr>
        <w:t xml:space="preserve"> Vol. 2, No. 1, (2021), hal. 69.</w:t>
      </w:r>
      <w:r w:rsidRPr="000434D7">
        <w:rPr>
          <w:rFonts w:asciiTheme="majorBidi" w:hAnsiTheme="majorBidi" w:cs="Times New Roman"/>
        </w:rPr>
        <w:fldChar w:fldCharType="end"/>
      </w:r>
    </w:p>
  </w:footnote>
  <w:footnote w:id="17">
    <w:p w14:paraId="205DB69B" w14:textId="77777777" w:rsidR="00754C61" w:rsidRDefault="00754C61" w:rsidP="00754C61">
      <w:pPr>
        <w:pStyle w:val="FootnoteText"/>
        <w:ind w:firstLine="720"/>
        <w:jc w:val="both"/>
      </w:pPr>
      <w:r w:rsidRPr="008A0765">
        <w:rPr>
          <w:rStyle w:val="FootnoteReference"/>
          <w:rFonts w:asciiTheme="majorBidi" w:hAnsiTheme="majorBidi"/>
        </w:rPr>
        <w:footnoteRef/>
      </w:r>
      <w:r w:rsidRPr="008A0765">
        <w:rPr>
          <w:rFonts w:asciiTheme="majorBidi" w:hAnsiTheme="majorBidi" w:cs="Times New Roman"/>
        </w:rPr>
        <w:t xml:space="preserve"> </w:t>
      </w:r>
      <w:r w:rsidRPr="008A0765">
        <w:rPr>
          <w:rFonts w:asciiTheme="majorBidi" w:hAnsiTheme="majorBidi" w:cs="Times New Roman"/>
        </w:rPr>
        <w:fldChar w:fldCharType="begin"/>
      </w:r>
      <w:r w:rsidRPr="008A0765">
        <w:rPr>
          <w:rFonts w:asciiTheme="majorBidi" w:hAnsiTheme="majorBidi" w:cs="Times New Roman"/>
        </w:rPr>
        <w:instrText xml:space="preserve"> ADDIN ZOTERO_ITEM CSL_CITATION {"citationID":"O6MHmltq","properties":{"formattedCitation":"Subaidi, {\\i{}Pendidikan Islam Risalah Ahlussunnah Wal Jama\\uc0\\u8217{}ah An-Nahdliyah}, 1 ed. (Jepara: UNISNU Press, 2019), hal. 75.","plainCitation":"Subaidi, Pendidikan Islam Risalah Ahlussunnah Wal Jama’ah An-Nahdliyah, 1 ed. (Jepara: UNISNU Press, 2019), hal. 75.","noteIndex":17},"citationItems":[{"id":74,"uris":["http://zotero.org/users/local/7ME6pr6f/items/HLQC9XQ6"],"uri":["http://zotero.org/users/local/7ME6pr6f/items/HLQC9XQ6"],"itemData":{"id":74,"type":"book","edition":"1","event-place":"Jepara","ISBN":"978-623-91604-0-1","publisher":"UNISNU Press","publisher-place":"Jepara","title":"Pendidikan Islam Risalah Ahlussunnah Wal Jama'ah An-Nahdliyah","author":[{"family":"Subaidi","given":""}],"issued":{"date-parts":[["2019"]]}},"locator":"hal. 75","label":"page"}],"schema":"https://github.com/citation-style-language/schema/raw/master/csl-citation.json"} </w:instrText>
      </w:r>
      <w:r w:rsidRPr="008A0765">
        <w:rPr>
          <w:rFonts w:asciiTheme="majorBidi" w:hAnsiTheme="majorBidi" w:cs="Times New Roman"/>
        </w:rPr>
        <w:fldChar w:fldCharType="separate"/>
      </w:r>
      <w:r w:rsidRPr="008A0765">
        <w:rPr>
          <w:rFonts w:asciiTheme="majorBidi" w:hAnsiTheme="majorBidi" w:cs="Times New Roman"/>
          <w:szCs w:val="24"/>
        </w:rPr>
        <w:t xml:space="preserve">Subaidi, </w:t>
      </w:r>
      <w:r w:rsidRPr="008A0765">
        <w:rPr>
          <w:rFonts w:asciiTheme="majorBidi" w:hAnsiTheme="majorBidi" w:cs="Times New Roman"/>
          <w:i/>
          <w:iCs/>
          <w:szCs w:val="24"/>
        </w:rPr>
        <w:t>Pendidikan Islam Risalah Ahlussunnah Wal Jama’ah An-Nahdliyah</w:t>
      </w:r>
      <w:r w:rsidRPr="008A0765">
        <w:rPr>
          <w:rFonts w:asciiTheme="majorBidi" w:hAnsiTheme="majorBidi" w:cs="Times New Roman"/>
          <w:szCs w:val="24"/>
        </w:rPr>
        <w:t>, 1 ed. (Jepara: UNISNU Press, 2019), hal. 75.</w:t>
      </w:r>
      <w:r w:rsidRPr="008A0765">
        <w:rPr>
          <w:rFonts w:asciiTheme="majorBidi" w:hAnsiTheme="majorBidi" w:cs="Times New Roman"/>
        </w:rPr>
        <w:fldChar w:fldCharType="end"/>
      </w:r>
    </w:p>
  </w:footnote>
  <w:footnote w:id="18">
    <w:p w14:paraId="463320EA" w14:textId="77777777" w:rsidR="00754C61" w:rsidRDefault="00754C61" w:rsidP="00754C61">
      <w:pPr>
        <w:pStyle w:val="FootnoteText"/>
        <w:ind w:firstLine="720"/>
        <w:jc w:val="both"/>
      </w:pPr>
      <w:r w:rsidRPr="00265E5D">
        <w:rPr>
          <w:rStyle w:val="FootnoteReference"/>
          <w:rFonts w:asciiTheme="majorBidi" w:hAnsiTheme="majorBidi"/>
        </w:rPr>
        <w:footnoteRef/>
      </w:r>
      <w:r w:rsidRPr="00265E5D">
        <w:rPr>
          <w:rFonts w:asciiTheme="majorBidi" w:hAnsiTheme="majorBidi" w:cs="Times New Roman"/>
        </w:rPr>
        <w:t xml:space="preserve"> </w:t>
      </w:r>
      <w:r w:rsidRPr="00265E5D">
        <w:rPr>
          <w:rFonts w:asciiTheme="majorBidi" w:hAnsiTheme="majorBidi" w:cs="Times New Roman"/>
        </w:rPr>
        <w:fldChar w:fldCharType="begin"/>
      </w:r>
      <w:r w:rsidRPr="00265E5D">
        <w:rPr>
          <w:rFonts w:asciiTheme="majorBidi" w:hAnsiTheme="majorBidi" w:cs="Times New Roman"/>
        </w:rPr>
        <w:instrText xml:space="preserve"> ADDIN ZOTERO_ITEM CSL_CITATION {"citationID":"jOalFfQv","properties":{"custom":"Wahyudin Hafid, \\uc0\\u8220{}Geneologi Radikalisme Di Indonesia (Melacak Akar Sejarah Gerakan Radikal),\\uc0\\u8221{} {\\i{}Al-Tafaqquh: Journal of Islamic Law, Fakultas Agama Islam UMI,} Vol. 1, No. 1, (2020): hal. 33.","formattedCitation":"Wahyudin Hafid, \\uc0\\u8220{}Geneologi Radikalisme Di Indonesia (Melacak Akar Sejarah Gerakan Radikal),\\uc0\\u8221{} {\\i{}Al-Tafaqquh: Journal of Islamic Law, Fakultas Agama Islam UMI,} Vol. 1, No. 1, (2020): hal. 33.","plainCitation":"Wahyudin Hafid, “Geneologi Radikalisme Di Indonesia (Melacak Akar Sejarah Gerakan Radikal),” Al-Tafaqquh: Journal of Islamic Law, Fakultas Agama Islam UMI, Vol. 1, No. 1, (2020): hal. 33.","noteIndex":24},"citationItems":[{"id":75,"uris":["http://zotero.org/users/local/7ME6pr6f/items/T32LXPTU"],"uri":["http://zotero.org/users/local/7ME6pr6f/items/T32LXPTU"],"itemData":{"id":75,"type":"article-journal","container-title":"Al-Tafaqquh: Journal of Islamic Law, Fakultas Agama Islam UMI","issue":"1","page":"31-46","title":"Geneologi Radikalisme di Indonesia (Melacak Akar Sejarah Gerakan Radikal)","volume":"Vol. 1","author":[{"family":"Hafid","given":"Wahyudin"}],"issued":{"date-parts":[["2020"]]}},"locator":"hal. 33","label":"page"}],"schema":"https://github.com/citation-style-language/schema/raw/master/csl-citation.json"} </w:instrText>
      </w:r>
      <w:r w:rsidRPr="00265E5D">
        <w:rPr>
          <w:rFonts w:asciiTheme="majorBidi" w:hAnsiTheme="majorBidi" w:cs="Times New Roman"/>
        </w:rPr>
        <w:fldChar w:fldCharType="separate"/>
      </w:r>
      <w:r w:rsidRPr="00265E5D">
        <w:rPr>
          <w:rFonts w:asciiTheme="majorBidi" w:hAnsiTheme="majorBidi" w:cs="Times New Roman"/>
          <w:szCs w:val="24"/>
        </w:rPr>
        <w:t xml:space="preserve">Wahyudin Hafid, “Geneologi Radikalisme Di Indonesia (Melacak Akar Sejarah Gerakan Radikal),” </w:t>
      </w:r>
      <w:r w:rsidRPr="00265E5D">
        <w:rPr>
          <w:rFonts w:asciiTheme="majorBidi" w:hAnsiTheme="majorBidi" w:cs="Times New Roman"/>
          <w:i/>
          <w:iCs/>
          <w:szCs w:val="24"/>
        </w:rPr>
        <w:t>Al-Tafaqquh: Journal of Islamic Law, Fakultas Agama Islam UMI,</w:t>
      </w:r>
      <w:r w:rsidRPr="00265E5D">
        <w:rPr>
          <w:rFonts w:asciiTheme="majorBidi" w:hAnsiTheme="majorBidi" w:cs="Times New Roman"/>
          <w:szCs w:val="24"/>
        </w:rPr>
        <w:t xml:space="preserve"> Vol. 1, No. 1, (2020): hal. 33.</w:t>
      </w:r>
      <w:r w:rsidRPr="00265E5D">
        <w:rPr>
          <w:rFonts w:asciiTheme="majorBidi" w:hAnsiTheme="majorBidi" w:cs="Times New Roman"/>
        </w:rPr>
        <w:fldChar w:fldCharType="end"/>
      </w:r>
    </w:p>
  </w:footnote>
  <w:footnote w:id="19">
    <w:p w14:paraId="32828B39" w14:textId="77777777" w:rsidR="00754C61" w:rsidRDefault="00754C61" w:rsidP="00754C61">
      <w:pPr>
        <w:pStyle w:val="FootnoteText"/>
        <w:ind w:firstLine="720"/>
        <w:jc w:val="both"/>
      </w:pPr>
      <w:r w:rsidRPr="00D12CE4">
        <w:rPr>
          <w:rStyle w:val="FootnoteReference"/>
          <w:rFonts w:asciiTheme="majorBidi" w:hAnsiTheme="majorBidi"/>
        </w:rPr>
        <w:footnoteRef/>
      </w:r>
      <w:r w:rsidRPr="00D12CE4">
        <w:rPr>
          <w:rFonts w:asciiTheme="majorBidi" w:hAnsiTheme="majorBidi" w:cs="Times New Roman"/>
        </w:rPr>
        <w:t xml:space="preserve"> </w:t>
      </w:r>
      <w:r w:rsidRPr="00D12CE4">
        <w:rPr>
          <w:rFonts w:asciiTheme="majorBidi" w:hAnsiTheme="majorBidi" w:cs="Times New Roman"/>
        </w:rPr>
        <w:fldChar w:fldCharType="begin"/>
      </w:r>
      <w:r w:rsidRPr="00D12CE4">
        <w:rPr>
          <w:rFonts w:asciiTheme="majorBidi" w:hAnsiTheme="majorBidi" w:cs="Times New Roman"/>
        </w:rPr>
        <w:instrText xml:space="preserve"> ADDIN ZOTERO_ITEM CSL_CITATION {"citationID":"yu08WiVK","properties":{"formattedCitation":"kemdikbud, \\uc0\\u8220{}Kamus Besar Bahasa Indonesia (KBBI) Daring,\\uc0\\u8221{} 2021, https://kbbi.kemdikbud.go.id/entri/radikalisme.","plainCitation":"kemdikbud, “Kamus Besar Bahasa Indonesia (KBBI) Daring,” 2021, https://kbbi.kemdikbud.go.id/entri/radikalisme.","noteIndex":25},"citationItems":[{"id":76,"uris":["http://zotero.org/users/local/7ME6pr6f/items/TNA448TV"],"uri":["http://zotero.org/users/local/7ME6pr6f/items/TNA448TV"],"itemData":{"id":76,"type":"webpage","title":"Kamus Besar Bahasa Indonesia (KBBI) Daring","URL":"https://kbbi.kemdikbud.go.id/entri/radikalisme","author":[{"family":"kemdikbud","given":""}],"accessed":{"date-parts":[["2021",6,10]]},"issued":{"date-parts":[["2021"]]}}}],"schema":"https://github.com/citation-style-language/schema/raw/master/csl-citation.json"} </w:instrText>
      </w:r>
      <w:r w:rsidRPr="00D12CE4">
        <w:rPr>
          <w:rFonts w:asciiTheme="majorBidi" w:hAnsiTheme="majorBidi" w:cs="Times New Roman"/>
        </w:rPr>
        <w:fldChar w:fldCharType="separate"/>
      </w:r>
      <w:r w:rsidRPr="00D12CE4">
        <w:rPr>
          <w:rFonts w:asciiTheme="majorBidi" w:hAnsiTheme="majorBidi" w:cs="Times New Roman"/>
          <w:szCs w:val="24"/>
        </w:rPr>
        <w:t>kemdikbud, “Kamus Besar Bahasa Indonesia (KBBI) Daring,” 2021, https://kbbi.kemdikbud.go.id/entri/radikalisme.</w:t>
      </w:r>
      <w:r w:rsidRPr="00D12CE4">
        <w:rPr>
          <w:rFonts w:asciiTheme="majorBidi" w:hAnsiTheme="majorBidi" w:cs="Times New Roman"/>
        </w:rPr>
        <w:fldChar w:fldCharType="end"/>
      </w:r>
    </w:p>
  </w:footnote>
  <w:footnote w:id="20">
    <w:p w14:paraId="5523D7DB" w14:textId="77777777" w:rsidR="00754C61" w:rsidRDefault="00754C61" w:rsidP="00754C61">
      <w:pPr>
        <w:pStyle w:val="FootnoteText"/>
        <w:ind w:firstLine="720"/>
        <w:jc w:val="both"/>
      </w:pPr>
      <w:r w:rsidRPr="0091355A">
        <w:rPr>
          <w:rStyle w:val="FootnoteReference"/>
          <w:rFonts w:asciiTheme="majorBidi" w:hAnsiTheme="majorBidi"/>
        </w:rPr>
        <w:footnoteRef/>
      </w:r>
      <w:r w:rsidRPr="0091355A">
        <w:rPr>
          <w:rFonts w:asciiTheme="majorBidi" w:hAnsiTheme="majorBidi" w:cs="Times New Roman"/>
        </w:rPr>
        <w:t xml:space="preserve"> </w:t>
      </w:r>
      <w:r w:rsidRPr="0091355A">
        <w:rPr>
          <w:rFonts w:asciiTheme="majorBidi" w:hAnsiTheme="majorBidi" w:cs="Times New Roman"/>
        </w:rPr>
        <w:fldChar w:fldCharType="begin"/>
      </w:r>
      <w:r w:rsidRPr="0091355A">
        <w:rPr>
          <w:rFonts w:asciiTheme="majorBidi" w:hAnsiTheme="majorBidi" w:cs="Times New Roman"/>
        </w:rPr>
        <w:instrText xml:space="preserve"> ADDIN ZOTERO_ITEM CSL_CITATION {"citationID":"9ypkUKfZ","properties":{"custom":"Ahmad Asrori, \\uc0\\u8220{}Radikalisme Di Indonesia\\uc0\\u8239{}: Antara Historisitas Dan Antropisitas,\\uc0\\u8221{} {\\i{}Kalam: Jurnal Studi Agama Dan Pemikiran Islam,} Vol. 9, No. 2, (2015), hal. 267.","formattedCitation":"Ahmad Asrori, \\uc0\\u8220{}Radikalisme Di Indonesia\\uc0\\u8239{}: Antara Historisitas Dan Antropisitas,\\uc0\\u8221{} {\\i{}Kalam: Jurnal Studi Agama Dan Pemikiran Islam,} Vol. 9, No. 2, (2015), hal. 267.","plainCitation":"Ahmad Asrori, “Radikalisme Di Indonesia : Antara Historisitas Dan Antropisitas,” Kalam: Jurnal Studi Agama Dan Pemikiran Islam, Vol. 9, No. 2, (2015), hal. 267.","noteIndex":26},"citationItems":[{"id":77,"uris":["http://zotero.org/users/local/7ME6pr6f/items/4B5C396E"],"uri":["http://zotero.org/users/local/7ME6pr6f/items/4B5C396E"],"itemData":{"id":77,"type":"article-journal","container-title":"Kalam: Jurnal Studi Agama dan Pemikiran Islam","issue":"2","page":"253-268","title":"Radikalisme di Indonesia : Antara Historisitas dan Antropisitas","volume":"Vol. 9","author":[{"family":"Asrori","given":"Ahmad"}],"issued":{"date-parts":[["2015"]]}},"locator":"hal. 267","label":"page"}],"schema":"https://github.com/citation-style-language/schema/raw/master/csl-citation.json"} </w:instrText>
      </w:r>
      <w:r w:rsidRPr="0091355A">
        <w:rPr>
          <w:rFonts w:asciiTheme="majorBidi" w:hAnsiTheme="majorBidi" w:cs="Times New Roman"/>
        </w:rPr>
        <w:fldChar w:fldCharType="separate"/>
      </w:r>
      <w:r w:rsidRPr="0091355A">
        <w:rPr>
          <w:rFonts w:asciiTheme="majorBidi" w:hAnsiTheme="majorBidi" w:cs="Times New Roman"/>
          <w:szCs w:val="24"/>
        </w:rPr>
        <w:t xml:space="preserve">Ahmad Asrori, “Radikalisme Di </w:t>
      </w:r>
      <w:proofErr w:type="gramStart"/>
      <w:r w:rsidRPr="0091355A">
        <w:rPr>
          <w:rFonts w:asciiTheme="majorBidi" w:hAnsiTheme="majorBidi" w:cs="Times New Roman"/>
          <w:szCs w:val="24"/>
        </w:rPr>
        <w:t>Indonesia :</w:t>
      </w:r>
      <w:proofErr w:type="gramEnd"/>
      <w:r w:rsidRPr="0091355A">
        <w:rPr>
          <w:rFonts w:asciiTheme="majorBidi" w:hAnsiTheme="majorBidi" w:cs="Times New Roman"/>
          <w:szCs w:val="24"/>
        </w:rPr>
        <w:t xml:space="preserve"> Antara Historisitas Dan Antropisitas,” </w:t>
      </w:r>
      <w:r w:rsidRPr="0091355A">
        <w:rPr>
          <w:rFonts w:asciiTheme="majorBidi" w:hAnsiTheme="majorBidi" w:cs="Times New Roman"/>
          <w:i/>
          <w:iCs/>
          <w:szCs w:val="24"/>
        </w:rPr>
        <w:t>Kalam: Jurnal Studi Agama Dan Pemikiran Islam,</w:t>
      </w:r>
      <w:r w:rsidRPr="0091355A">
        <w:rPr>
          <w:rFonts w:asciiTheme="majorBidi" w:hAnsiTheme="majorBidi" w:cs="Times New Roman"/>
          <w:szCs w:val="24"/>
        </w:rPr>
        <w:t xml:space="preserve"> Vol. 9, No. 2, (2015), hal. 267.</w:t>
      </w:r>
      <w:r w:rsidRPr="0091355A">
        <w:rPr>
          <w:rFonts w:asciiTheme="majorBidi" w:hAnsiTheme="majorBidi" w:cs="Times New Roman"/>
        </w:rPr>
        <w:fldChar w:fldCharType="end"/>
      </w:r>
    </w:p>
  </w:footnote>
  <w:footnote w:id="21">
    <w:p w14:paraId="5B1CD7B4" w14:textId="77777777" w:rsidR="00754C61" w:rsidRDefault="00754C61" w:rsidP="00754C61">
      <w:pPr>
        <w:pStyle w:val="FootnoteText"/>
        <w:ind w:firstLine="720"/>
        <w:jc w:val="both"/>
      </w:pPr>
      <w:r w:rsidRPr="00A75B43">
        <w:rPr>
          <w:rStyle w:val="FootnoteReference"/>
          <w:rFonts w:asciiTheme="majorBidi" w:hAnsiTheme="majorBidi"/>
        </w:rPr>
        <w:footnoteRef/>
      </w:r>
      <w:r w:rsidRPr="00A75B43">
        <w:rPr>
          <w:rFonts w:asciiTheme="majorBidi" w:hAnsiTheme="majorBidi" w:cs="Times New Roman"/>
        </w:rPr>
        <w:t xml:space="preserve"> </w:t>
      </w:r>
      <w:r w:rsidRPr="00A75B43">
        <w:rPr>
          <w:rFonts w:asciiTheme="majorBidi" w:hAnsiTheme="majorBidi" w:cs="Times New Roman"/>
        </w:rPr>
        <w:fldChar w:fldCharType="begin"/>
      </w:r>
      <w:r w:rsidRPr="00A75B43">
        <w:rPr>
          <w:rFonts w:asciiTheme="majorBidi" w:hAnsiTheme="majorBidi" w:cs="Times New Roman"/>
        </w:rPr>
        <w:instrText xml:space="preserve"> ADDIN ZOTERO_ITEM CSL_CITATION {"citationID":"0GNTNA15","properties":{"custom":"Irwan Masduqi, \\uc0\\u8220{}Deradikalisasi Pendidikan Islam Berbasis Khazanah Pesantren,\\uc0\\u8221{} {\\i{}Jurnal Pendidikan Islam,} Vol. 2, No. 1, (2013),hal. 4.","formattedCitation":"Irwan Masduqi, \\uc0\\u8220{}Deradikalisasi Pendidikan Islam Berbasis Khazanah Pesantren,\\uc0\\u8221{} {\\i{}Jurnal Pendidikan Islam,} Vol. 2, No. 1, (2013),hal. 4.","plainCitation":"Irwan Masduqi, “Deradikalisasi Pendidikan Islam Berbasis Khazanah Pesantren,” Jurnal Pendidikan Islam, Vol. 2, No. 1, (2013),hal. 4.","noteIndex":27},"citationItems":[{"id":59,"uris":["http://zotero.org/users/local/7ME6pr6f/items/PK6Q7Z6S"],"uri":["http://zotero.org/users/local/7ME6pr6f/items/PK6Q7Z6S"],"itemData":{"id":59,"type":"article-journal","container-title":"Jurnal Pendidikan Islam","issue":"1","page":"1-20","title":"Deradikalisasi Pendidikan Islam Berbasis Khazanah Pesantren","volume":"Vol. 2","author":[{"family":"Masduqi","given":"Irwan"}],"issued":{"date-parts":[["2013"]]}},"locator":"hal. 4","label":"page"}],"schema":"https://github.com/citation-style-language/schema/raw/master/csl-citation.json"} </w:instrText>
      </w:r>
      <w:r w:rsidRPr="00A75B43">
        <w:rPr>
          <w:rFonts w:asciiTheme="majorBidi" w:hAnsiTheme="majorBidi" w:cs="Times New Roman"/>
        </w:rPr>
        <w:fldChar w:fldCharType="separate"/>
      </w:r>
      <w:r w:rsidRPr="00A75B43">
        <w:rPr>
          <w:rFonts w:asciiTheme="majorBidi" w:hAnsiTheme="majorBidi" w:cs="Times New Roman"/>
          <w:szCs w:val="24"/>
        </w:rPr>
        <w:t xml:space="preserve">Irwan Masduqi, “Deradikalisasi Pendidikan Islam Berbasis Khazanah Pesantren,” </w:t>
      </w:r>
      <w:r w:rsidRPr="00A75B43">
        <w:rPr>
          <w:rFonts w:asciiTheme="majorBidi" w:hAnsiTheme="majorBidi" w:cs="Times New Roman"/>
          <w:i/>
          <w:iCs/>
          <w:szCs w:val="24"/>
        </w:rPr>
        <w:t>Jurnal Pendidikan Islam,</w:t>
      </w:r>
      <w:r w:rsidRPr="00A75B43">
        <w:rPr>
          <w:rFonts w:asciiTheme="majorBidi" w:hAnsiTheme="majorBidi" w:cs="Times New Roman"/>
          <w:szCs w:val="24"/>
        </w:rPr>
        <w:t xml:space="preserve"> Vol. 2, No. 1, (2013</w:t>
      </w:r>
      <w:proofErr w:type="gramStart"/>
      <w:r w:rsidRPr="00A75B43">
        <w:rPr>
          <w:rFonts w:asciiTheme="majorBidi" w:hAnsiTheme="majorBidi" w:cs="Times New Roman"/>
          <w:szCs w:val="24"/>
        </w:rPr>
        <w:t>),hal</w:t>
      </w:r>
      <w:proofErr w:type="gramEnd"/>
      <w:r w:rsidRPr="00A75B43">
        <w:rPr>
          <w:rFonts w:asciiTheme="majorBidi" w:hAnsiTheme="majorBidi" w:cs="Times New Roman"/>
          <w:szCs w:val="24"/>
        </w:rPr>
        <w:t>. 4.</w:t>
      </w:r>
      <w:r w:rsidRPr="00A75B43">
        <w:rPr>
          <w:rFonts w:asciiTheme="majorBidi" w:hAnsiTheme="majorBidi" w:cs="Times New Roman"/>
        </w:rPr>
        <w:fldChar w:fldCharType="end"/>
      </w:r>
    </w:p>
  </w:footnote>
  <w:footnote w:id="22">
    <w:p w14:paraId="7C8C0AD9" w14:textId="77777777" w:rsidR="00754C61" w:rsidRDefault="00754C61" w:rsidP="00754C61">
      <w:pPr>
        <w:pStyle w:val="FootnoteText"/>
        <w:ind w:firstLine="720"/>
        <w:jc w:val="both"/>
      </w:pPr>
      <w:r w:rsidRPr="00A832BA">
        <w:rPr>
          <w:rStyle w:val="FootnoteReference"/>
          <w:rFonts w:asciiTheme="majorBidi" w:hAnsiTheme="majorBidi"/>
        </w:rPr>
        <w:footnoteRef/>
      </w:r>
      <w:r w:rsidRPr="00A832BA">
        <w:rPr>
          <w:rFonts w:asciiTheme="majorBidi" w:hAnsiTheme="majorBidi" w:cs="Times New Roman"/>
        </w:rPr>
        <w:t xml:space="preserve"> </w:t>
      </w:r>
      <w:r w:rsidRPr="00A832BA">
        <w:rPr>
          <w:rFonts w:asciiTheme="majorBidi" w:hAnsiTheme="majorBidi" w:cs="Times New Roman"/>
        </w:rPr>
        <w:fldChar w:fldCharType="begin"/>
      </w:r>
      <w:r w:rsidRPr="00A832BA">
        <w:rPr>
          <w:rFonts w:asciiTheme="majorBidi" w:hAnsiTheme="majorBidi" w:cs="Times New Roman"/>
        </w:rPr>
        <w:instrText xml:space="preserve"> ADDIN ZOTERO_ITEM CSL_CITATION {"citationID":"jjbAQrSV","properties":{"custom":"Atu Karomah, \\uc0\\u8220{}Faktor-Faktor Kemunculan Gerakan Radikal Dalam Islam,\\uc0\\u8221{} {\\i{}Jurnal Al-Shifa,} Vol. 3, No. 2,(2012), hal. 253.","formattedCitation":"Atu Karomah, \\uc0\\u8220{}Faktor-Faktor Kemunculan Gerakan Radikal Dalam Islam,\\uc0\\u8221{} {\\i{}Jurnal Al-Shifa,} Vol. 3, No. 2,(2012), hal. 253.","plainCitation":"Atu Karomah, “Faktor-Faktor Kemunculan Gerakan Radikal Dalam Islam,” Jurnal Al-Shifa, Vol. 3, No. 2,(2012), hal. 253.","noteIndex":28},"citationItems":[{"id":79,"uris":["http://zotero.org/users/local/7ME6pr6f/items/I8W7VSXY"],"uri":["http://zotero.org/users/local/7ME6pr6f/items/I8W7VSXY"],"itemData":{"id":79,"type":"article-journal","container-title":"Jurnal al-Shifa","issue":"2","page":"249-280","title":"Faktor-Faktor Kemunculan Gerakan Radikal dalam Islam","volume":"Vol. 3","author":[{"family":"Karomah","given":"Atu"}],"issued":{"date-parts":[["2012"]]}},"locator":"hal. 253","label":"page"}],"schema":"https://github.com/citation-style-language/schema/raw/master/csl-citation.json"} </w:instrText>
      </w:r>
      <w:r w:rsidRPr="00A832BA">
        <w:rPr>
          <w:rFonts w:asciiTheme="majorBidi" w:hAnsiTheme="majorBidi" w:cs="Times New Roman"/>
        </w:rPr>
        <w:fldChar w:fldCharType="separate"/>
      </w:r>
      <w:r w:rsidRPr="00A832BA">
        <w:rPr>
          <w:rFonts w:asciiTheme="majorBidi" w:hAnsiTheme="majorBidi" w:cs="Times New Roman"/>
          <w:szCs w:val="24"/>
        </w:rPr>
        <w:t xml:space="preserve">Atu Karomah, “Faktor-Faktor Kemunculan Gerakan Radikal Dalam Islam,” </w:t>
      </w:r>
      <w:r w:rsidRPr="00A832BA">
        <w:rPr>
          <w:rFonts w:asciiTheme="majorBidi" w:hAnsiTheme="majorBidi" w:cs="Times New Roman"/>
          <w:i/>
          <w:iCs/>
          <w:szCs w:val="24"/>
        </w:rPr>
        <w:t>Jurnal Al-Shifa,</w:t>
      </w:r>
      <w:r w:rsidRPr="00A832BA">
        <w:rPr>
          <w:rFonts w:asciiTheme="majorBidi" w:hAnsiTheme="majorBidi" w:cs="Times New Roman"/>
          <w:szCs w:val="24"/>
        </w:rPr>
        <w:t xml:space="preserve"> Vol. 3, No. </w:t>
      </w:r>
      <w:proofErr w:type="gramStart"/>
      <w:r w:rsidRPr="00A832BA">
        <w:rPr>
          <w:rFonts w:asciiTheme="majorBidi" w:hAnsiTheme="majorBidi" w:cs="Times New Roman"/>
          <w:szCs w:val="24"/>
        </w:rPr>
        <w:t>2,(</w:t>
      </w:r>
      <w:proofErr w:type="gramEnd"/>
      <w:r w:rsidRPr="00A832BA">
        <w:rPr>
          <w:rFonts w:asciiTheme="majorBidi" w:hAnsiTheme="majorBidi" w:cs="Times New Roman"/>
          <w:szCs w:val="24"/>
        </w:rPr>
        <w:t>2012), hal. 253.</w:t>
      </w:r>
      <w:r w:rsidRPr="00A832BA">
        <w:rPr>
          <w:rFonts w:asciiTheme="majorBidi" w:hAnsiTheme="majorBidi"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B1A7" w14:textId="62AE36CE" w:rsidR="00754C61" w:rsidRDefault="00754C61">
    <w:pPr>
      <w:pStyle w:val="Header"/>
    </w:pPr>
    <w:r>
      <w:rPr>
        <w:noProof/>
      </w:rPr>
      <w:pict w14:anchorId="50796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396.7pt;height:561pt;z-index:-251657216;mso-position-horizontal:center;mso-position-horizontal-relative:margin;mso-position-vertical:center;mso-position-vertical-relative:margin" o:allowincell="f">
          <v:imagedata r:id="rId1" o:title="5_6179100351321343697_page-000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BFF3" w14:textId="5D3DB725" w:rsidR="00754C61" w:rsidRDefault="00754C61">
    <w:pPr>
      <w:pStyle w:val="Header"/>
    </w:pPr>
    <w:r>
      <w:rPr>
        <w:noProof/>
      </w:rPr>
      <w:pict w14:anchorId="23A7D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396.7pt;height:561pt;z-index:-251656192;mso-position-horizontal:center;mso-position-horizontal-relative:margin;mso-position-vertical:center;mso-position-vertical-relative:margin" o:allowincell="f">
          <v:imagedata r:id="rId1" o:title="5_6179100351321343697_page-000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3C38" w14:textId="4C5E128F" w:rsidR="00754C61" w:rsidRDefault="00754C61">
    <w:pPr>
      <w:pStyle w:val="Header"/>
    </w:pPr>
    <w:r>
      <w:rPr>
        <w:noProof/>
      </w:rPr>
      <w:pict w14:anchorId="4FFAC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96.7pt;height:561pt;z-index:-251658240;mso-position-horizontal:center;mso-position-horizontal-relative:margin;mso-position-vertical:center;mso-position-vertical-relative:margin" o:allowincell="f">
          <v:imagedata r:id="rId1" o:title="5_6179100351321343697_page-0001"/>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0AAE0" w14:textId="4028146A" w:rsidR="00754C61" w:rsidRDefault="00754C61">
    <w:pPr>
      <w:pStyle w:val="Header"/>
    </w:pPr>
    <w:r>
      <w:rPr>
        <w:noProof/>
      </w:rPr>
      <w:pict w14:anchorId="5CA3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396.7pt;height:561pt;z-index:-251654144;mso-position-horizontal:center;mso-position-horizontal-relative:margin;mso-position-vertical:center;mso-position-vertical-relative:margin" o:allowincell="f">
          <v:imagedata r:id="rId1" o:title="5_6179100351321343697_page-0001"/>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E8D2" w14:textId="18BFC9B7" w:rsidR="003F09CB" w:rsidRDefault="00754C61">
    <w:pPr>
      <w:pStyle w:val="Header"/>
      <w:jc w:val="right"/>
    </w:pPr>
    <w:r>
      <w:rPr>
        <w:noProof/>
      </w:rPr>
      <w:pict w14:anchorId="10AA2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396.7pt;height:561pt;z-index:-251653120;mso-position-horizontal:center;mso-position-horizontal-relative:margin;mso-position-vertical:center;mso-position-vertical-relative:margin" o:allowincell="f">
          <v:imagedata r:id="rId1" o:title="5_6179100351321343697_page-0001"/>
        </v:shape>
      </w:pict>
    </w:r>
    <w:r w:rsidR="00DE755E">
      <w:fldChar w:fldCharType="begin"/>
    </w:r>
    <w:r w:rsidR="00DE755E">
      <w:instrText xml:space="preserve"> PAGE   \* MERGEFORMAT </w:instrText>
    </w:r>
    <w:r w:rsidR="00DE755E">
      <w:fldChar w:fldCharType="separate"/>
    </w:r>
    <w:r w:rsidR="00DE755E">
      <w:rPr>
        <w:noProof/>
      </w:rPr>
      <w:t>2</w:t>
    </w:r>
    <w:r w:rsidR="00DE755E">
      <w:fldChar w:fldCharType="end"/>
    </w:r>
  </w:p>
  <w:p w14:paraId="5D8CABE2" w14:textId="77777777" w:rsidR="003F09CB" w:rsidRDefault="00DE75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CE94" w14:textId="0B5FC721" w:rsidR="00754C61" w:rsidRDefault="00754C61">
    <w:pPr>
      <w:pStyle w:val="Header"/>
    </w:pPr>
    <w:r>
      <w:rPr>
        <w:noProof/>
      </w:rPr>
      <w:pict w14:anchorId="7466F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396.7pt;height:561pt;z-index:-251655168;mso-position-horizontal:center;mso-position-horizontal-relative:margin;mso-position-vertical:center;mso-position-vertical-relative:margin" o:allowincell="f">
          <v:imagedata r:id="rId1" o:title="5_6179100351321343697_page-000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05D0D"/>
    <w:multiLevelType w:val="hybridMultilevel"/>
    <w:tmpl w:val="31029ADC"/>
    <w:lvl w:ilvl="0" w:tplc="38090019">
      <w:start w:val="1"/>
      <w:numFmt w:val="lowerLetter"/>
      <w:lvlText w:val="%1."/>
      <w:lvlJc w:val="left"/>
      <w:pPr>
        <w:ind w:left="1080" w:hanging="360"/>
      </w:pPr>
      <w:rPr>
        <w:rFonts w:cs="Times New Roman"/>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 w15:restartNumberingAfterBreak="0">
    <w:nsid w:val="52DE5688"/>
    <w:multiLevelType w:val="hybridMultilevel"/>
    <w:tmpl w:val="11C64638"/>
    <w:lvl w:ilvl="0" w:tplc="B2F4BCD0">
      <w:start w:val="1"/>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 w15:restartNumberingAfterBreak="0">
    <w:nsid w:val="5DCD3AA3"/>
    <w:multiLevelType w:val="hybridMultilevel"/>
    <w:tmpl w:val="D0282928"/>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6DF5115E"/>
    <w:multiLevelType w:val="hybridMultilevel"/>
    <w:tmpl w:val="3C34FD50"/>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 w15:restartNumberingAfterBreak="0">
    <w:nsid w:val="7275447B"/>
    <w:multiLevelType w:val="hybridMultilevel"/>
    <w:tmpl w:val="3F0AEF9A"/>
    <w:lvl w:ilvl="0" w:tplc="38090011">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 w15:restartNumberingAfterBreak="0">
    <w:nsid w:val="72EB6C03"/>
    <w:multiLevelType w:val="hybridMultilevel"/>
    <w:tmpl w:val="4288DD0E"/>
    <w:lvl w:ilvl="0" w:tplc="F6FA5FC0">
      <w:start w:val="1"/>
      <w:numFmt w:val="decimal"/>
      <w:lvlText w:val="%1."/>
      <w:lvlJc w:val="left"/>
      <w:pPr>
        <w:ind w:left="720" w:hanging="360"/>
      </w:pPr>
      <w:rPr>
        <w:rFonts w:cs="Times New Roman" w:hint="default"/>
        <w:b/>
        <w:bCs/>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7C621C9B"/>
    <w:multiLevelType w:val="hybridMultilevel"/>
    <w:tmpl w:val="59E88178"/>
    <w:lvl w:ilvl="0" w:tplc="38090019">
      <w:start w:val="1"/>
      <w:numFmt w:val="lowerLetter"/>
      <w:lvlText w:val="%1."/>
      <w:lvlJc w:val="left"/>
      <w:pPr>
        <w:ind w:left="1146" w:hanging="360"/>
      </w:pPr>
      <w:rPr>
        <w:rFonts w:cs="Times New Roman"/>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61"/>
    <w:rsid w:val="00754C61"/>
    <w:rsid w:val="00A72B30"/>
    <w:rsid w:val="00DE755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599919"/>
  <w15:chartTrackingRefBased/>
  <w15:docId w15:val="{699C89ED-042C-4DEE-931A-EE2ABF2B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C61"/>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C61"/>
    <w:pPr>
      <w:ind w:left="720"/>
      <w:contextualSpacing/>
    </w:pPr>
  </w:style>
  <w:style w:type="paragraph" w:styleId="FootnoteText">
    <w:name w:val="footnote text"/>
    <w:basedOn w:val="Normal"/>
    <w:link w:val="FootnoteTextChar"/>
    <w:uiPriority w:val="99"/>
    <w:semiHidden/>
    <w:unhideWhenUsed/>
    <w:rsid w:val="00754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C61"/>
    <w:rPr>
      <w:rFonts w:eastAsia="Times New Roman" w:cs="Arial"/>
      <w:sz w:val="20"/>
      <w:szCs w:val="20"/>
    </w:rPr>
  </w:style>
  <w:style w:type="character" w:styleId="FootnoteReference">
    <w:name w:val="footnote reference"/>
    <w:basedOn w:val="DefaultParagraphFont"/>
    <w:uiPriority w:val="99"/>
    <w:semiHidden/>
    <w:unhideWhenUsed/>
    <w:rsid w:val="00754C61"/>
    <w:rPr>
      <w:rFonts w:cs="Times New Roman"/>
      <w:vertAlign w:val="superscript"/>
    </w:rPr>
  </w:style>
  <w:style w:type="paragraph" w:styleId="Header">
    <w:name w:val="header"/>
    <w:basedOn w:val="Normal"/>
    <w:link w:val="HeaderChar"/>
    <w:uiPriority w:val="99"/>
    <w:unhideWhenUsed/>
    <w:rsid w:val="00754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C61"/>
    <w:rPr>
      <w:rFonts w:eastAsia="Times New Roman" w:cs="Arial"/>
    </w:rPr>
  </w:style>
  <w:style w:type="paragraph" w:styleId="Footer">
    <w:name w:val="footer"/>
    <w:basedOn w:val="Normal"/>
    <w:link w:val="FooterChar"/>
    <w:uiPriority w:val="99"/>
    <w:unhideWhenUsed/>
    <w:rsid w:val="00754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C61"/>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 </cp:lastModifiedBy>
  <cp:revision>1</cp:revision>
  <dcterms:created xsi:type="dcterms:W3CDTF">2022-08-20T14:49:00Z</dcterms:created>
  <dcterms:modified xsi:type="dcterms:W3CDTF">2022-08-20T14:50:00Z</dcterms:modified>
</cp:coreProperties>
</file>