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8CB665" w14:textId="77777777" w:rsidR="00754C61" w:rsidRPr="00B04797" w:rsidRDefault="00754C61" w:rsidP="00754C61">
      <w:pPr>
        <w:spacing w:line="480" w:lineRule="auto"/>
        <w:jc w:val="center"/>
        <w:rPr>
          <w:rFonts w:asciiTheme="majorBidi" w:hAnsiTheme="majorBidi" w:cs="Times New Roman"/>
          <w:b/>
          <w:bCs/>
          <w:sz w:val="26"/>
          <w:szCs w:val="26"/>
          <w:lang w:val="en-US"/>
        </w:rPr>
      </w:pPr>
      <w:r w:rsidRPr="00B04797">
        <w:rPr>
          <w:rFonts w:asciiTheme="majorBidi" w:hAnsiTheme="majorBidi" w:cs="Times New Roman"/>
          <w:b/>
          <w:bCs/>
          <w:sz w:val="26"/>
          <w:szCs w:val="26"/>
          <w:lang w:val="en-US"/>
        </w:rPr>
        <w:t>BAB II</w:t>
      </w:r>
    </w:p>
    <w:p w14:paraId="093E2540" w14:textId="77777777" w:rsidR="00754C61" w:rsidRPr="00B04797" w:rsidRDefault="00754C61" w:rsidP="00754C61">
      <w:pPr>
        <w:spacing w:line="480" w:lineRule="auto"/>
        <w:jc w:val="center"/>
        <w:rPr>
          <w:rFonts w:asciiTheme="majorBidi" w:hAnsiTheme="majorBidi" w:cs="Times New Roman"/>
          <w:b/>
          <w:bCs/>
          <w:sz w:val="26"/>
          <w:szCs w:val="26"/>
          <w:lang w:val="en-US"/>
        </w:rPr>
      </w:pPr>
      <w:r w:rsidRPr="00B04797">
        <w:rPr>
          <w:rFonts w:asciiTheme="majorBidi" w:hAnsiTheme="majorBidi" w:cs="Times New Roman"/>
          <w:b/>
          <w:bCs/>
          <w:sz w:val="26"/>
          <w:szCs w:val="26"/>
          <w:lang w:val="en-US"/>
        </w:rPr>
        <w:t>KAJIAN PUSTAKA</w:t>
      </w:r>
    </w:p>
    <w:p w14:paraId="3027B296" w14:textId="77777777" w:rsidR="00754C61" w:rsidRDefault="00754C61" w:rsidP="00754C61">
      <w:pPr>
        <w:spacing w:line="480" w:lineRule="auto"/>
        <w:jc w:val="center"/>
        <w:rPr>
          <w:rFonts w:asciiTheme="majorBidi" w:hAnsiTheme="majorBidi" w:cs="Times New Roman"/>
          <w:lang w:val="en-US"/>
        </w:rPr>
      </w:pPr>
    </w:p>
    <w:p w14:paraId="7DFAF004" w14:textId="77777777" w:rsidR="00754C61" w:rsidRPr="00B04797" w:rsidRDefault="00754C61" w:rsidP="00754C61">
      <w:pPr>
        <w:pStyle w:val="ListParagraph"/>
        <w:numPr>
          <w:ilvl w:val="0"/>
          <w:numId w:val="1"/>
        </w:numPr>
        <w:spacing w:line="480" w:lineRule="auto"/>
        <w:ind w:left="0" w:hanging="284"/>
        <w:rPr>
          <w:rFonts w:asciiTheme="majorBidi" w:hAnsiTheme="majorBidi" w:cs="Times New Roman"/>
          <w:b/>
          <w:bCs/>
          <w:sz w:val="24"/>
          <w:szCs w:val="24"/>
          <w:lang w:val="en-US"/>
        </w:rPr>
      </w:pPr>
      <w:r>
        <w:rPr>
          <w:rFonts w:asciiTheme="majorBidi" w:hAnsiTheme="majorBidi" w:cs="Times New Roman"/>
          <w:b/>
          <w:bCs/>
          <w:sz w:val="24"/>
          <w:szCs w:val="24"/>
          <w:lang w:val="en-US"/>
        </w:rPr>
        <w:t xml:space="preserve"> Konsep dan </w:t>
      </w:r>
      <w:r w:rsidRPr="00B04797">
        <w:rPr>
          <w:rFonts w:asciiTheme="majorBidi" w:hAnsiTheme="majorBidi" w:cs="Times New Roman"/>
          <w:b/>
          <w:bCs/>
          <w:sz w:val="24"/>
          <w:szCs w:val="24"/>
          <w:lang w:val="en-US"/>
        </w:rPr>
        <w:t>Amaliah Nahdhatul Ulama (NU)</w:t>
      </w:r>
    </w:p>
    <w:p w14:paraId="1ED6CD41"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Nahdhatul Ulama merupakan organisasi berpaham Ahlussunnah wal Jama’ah. Organisasi ini terbentuk dilatar belakangi untuk mempertahankan ajaran islam yang berpaham Ahlussunnah wal Jama’ah. Dalam istilah masyarakat Indonesia, Aswaja merupakan singkatan dari </w:t>
      </w:r>
      <w:r w:rsidRPr="00174BFE">
        <w:rPr>
          <w:rFonts w:asciiTheme="majorBidi" w:hAnsiTheme="majorBidi" w:cs="Times New Roman"/>
          <w:sz w:val="24"/>
          <w:szCs w:val="24"/>
        </w:rPr>
        <w:t>Ahlussunnah wal Jama’ah</w:t>
      </w:r>
      <w:r>
        <w:rPr>
          <w:rFonts w:asciiTheme="majorBidi" w:hAnsiTheme="majorBidi" w:cs="Times New Roman"/>
          <w:sz w:val="24"/>
          <w:szCs w:val="24"/>
        </w:rPr>
        <w:t xml:space="preserve">. Secara Bahasa, Ahlussunnah wal </w:t>
      </w:r>
      <w:proofErr w:type="gramStart"/>
      <w:r>
        <w:rPr>
          <w:rFonts w:asciiTheme="majorBidi" w:hAnsiTheme="majorBidi" w:cs="Times New Roman"/>
          <w:sz w:val="24"/>
          <w:szCs w:val="24"/>
        </w:rPr>
        <w:t>Jama’ah  memiliki</w:t>
      </w:r>
      <w:proofErr w:type="gramEnd"/>
      <w:r>
        <w:rPr>
          <w:rFonts w:asciiTheme="majorBidi" w:hAnsiTheme="majorBidi" w:cs="Times New Roman"/>
          <w:sz w:val="24"/>
          <w:szCs w:val="24"/>
        </w:rPr>
        <w:t xml:space="preserve"> arti sebagai berikut:</w:t>
      </w:r>
    </w:p>
    <w:p w14:paraId="318CFD92" w14:textId="77777777" w:rsidR="00754C61" w:rsidRDefault="00754C61" w:rsidP="00754C61">
      <w:pPr>
        <w:pStyle w:val="ListParagraph"/>
        <w:spacing w:line="480" w:lineRule="auto"/>
        <w:ind w:left="0"/>
        <w:jc w:val="both"/>
        <w:rPr>
          <w:rFonts w:asciiTheme="majorBidi" w:hAnsiTheme="majorBidi" w:cs="Times New Roman"/>
          <w:sz w:val="24"/>
          <w:szCs w:val="24"/>
        </w:rPr>
      </w:pPr>
      <w:r w:rsidRPr="00174BFE">
        <w:rPr>
          <w:rFonts w:asciiTheme="majorBidi" w:hAnsiTheme="majorBidi" w:cs="Times New Roman"/>
          <w:i/>
          <w:iCs/>
          <w:sz w:val="24"/>
          <w:szCs w:val="24"/>
        </w:rPr>
        <w:t>Ahlun</w:t>
      </w:r>
      <w:r>
        <w:rPr>
          <w:rFonts w:asciiTheme="majorBidi" w:hAnsiTheme="majorBidi" w:cs="Times New Roman"/>
          <w:sz w:val="24"/>
          <w:szCs w:val="24"/>
        </w:rPr>
        <w:t xml:space="preserve"> berarti sebagai keluarga, pengikut atau penduduk.</w:t>
      </w:r>
    </w:p>
    <w:p w14:paraId="08E8A468" w14:textId="77777777" w:rsidR="00754C61" w:rsidRDefault="00754C61" w:rsidP="00754C61">
      <w:pPr>
        <w:pStyle w:val="ListParagraph"/>
        <w:spacing w:line="480" w:lineRule="auto"/>
        <w:ind w:left="0"/>
        <w:jc w:val="both"/>
        <w:rPr>
          <w:rFonts w:asciiTheme="majorBidi" w:hAnsiTheme="majorBidi" w:cs="Times New Roman"/>
          <w:sz w:val="24"/>
          <w:szCs w:val="24"/>
        </w:rPr>
      </w:pPr>
      <w:r w:rsidRPr="00174BFE">
        <w:rPr>
          <w:rFonts w:asciiTheme="majorBidi" w:hAnsiTheme="majorBidi" w:cs="Times New Roman"/>
          <w:i/>
          <w:iCs/>
          <w:sz w:val="24"/>
          <w:szCs w:val="24"/>
        </w:rPr>
        <w:t>Assunnah</w:t>
      </w:r>
      <w:r>
        <w:rPr>
          <w:rFonts w:asciiTheme="majorBidi" w:hAnsiTheme="majorBidi" w:cs="Times New Roman"/>
          <w:sz w:val="24"/>
          <w:szCs w:val="24"/>
        </w:rPr>
        <w:t xml:space="preserve"> berartikan jalan, cara, atau perilaku walaupun tidak diridhai</w:t>
      </w:r>
    </w:p>
    <w:p w14:paraId="5FF7DF81" w14:textId="77777777" w:rsidR="00754C61" w:rsidRDefault="00754C61" w:rsidP="00754C61">
      <w:pPr>
        <w:pStyle w:val="ListParagraph"/>
        <w:spacing w:line="480" w:lineRule="auto"/>
        <w:ind w:left="0"/>
        <w:jc w:val="both"/>
        <w:rPr>
          <w:rFonts w:asciiTheme="majorBidi" w:hAnsiTheme="majorBidi" w:cs="Times New Roman"/>
          <w:sz w:val="24"/>
          <w:szCs w:val="24"/>
        </w:rPr>
      </w:pPr>
      <w:r w:rsidRPr="00174BFE">
        <w:rPr>
          <w:rFonts w:asciiTheme="majorBidi" w:hAnsiTheme="majorBidi" w:cs="Times New Roman"/>
          <w:i/>
          <w:iCs/>
          <w:sz w:val="24"/>
          <w:szCs w:val="24"/>
        </w:rPr>
        <w:t>Aljama’ah</w:t>
      </w:r>
      <w:r>
        <w:rPr>
          <w:rFonts w:asciiTheme="majorBidi" w:hAnsiTheme="majorBidi" w:cs="Times New Roman"/>
          <w:sz w:val="24"/>
          <w:szCs w:val="24"/>
        </w:rPr>
        <w:t xml:space="preserve"> berartikan sebagai mengumpulkan sesuatu.</w:t>
      </w:r>
    </w:p>
    <w:p w14:paraId="43463AC5" w14:textId="77777777" w:rsidR="00754C61" w:rsidRDefault="00754C61" w:rsidP="00754C61">
      <w:pPr>
        <w:pStyle w:val="ListParagraph"/>
        <w:spacing w:line="480" w:lineRule="auto"/>
        <w:ind w:left="0" w:firstLine="720"/>
        <w:jc w:val="both"/>
        <w:rPr>
          <w:rFonts w:asciiTheme="majorBidi" w:hAnsiTheme="majorBidi" w:cs="Times New Roman"/>
          <w:sz w:val="24"/>
          <w:szCs w:val="24"/>
        </w:rPr>
        <w:sectPr w:rsidR="00754C61" w:rsidSect="003F09CB">
          <w:headerReference w:type="even" r:id="rId7"/>
          <w:headerReference w:type="default" r:id="rId8"/>
          <w:footerReference w:type="even" r:id="rId9"/>
          <w:footerReference w:type="default" r:id="rId10"/>
          <w:headerReference w:type="first" r:id="rId11"/>
          <w:footerReference w:type="first" r:id="rId12"/>
          <w:pgSz w:w="11906" w:h="16838"/>
          <w:pgMar w:top="2268" w:right="1701" w:bottom="1701" w:left="2268" w:header="709" w:footer="709" w:gutter="0"/>
          <w:pgNumType w:start="15"/>
          <w:cols w:space="708"/>
          <w:docGrid w:linePitch="360"/>
        </w:sectPr>
      </w:pPr>
      <w:r>
        <w:rPr>
          <w:rFonts w:asciiTheme="majorBidi" w:hAnsiTheme="majorBidi" w:cs="Times New Roman"/>
          <w:sz w:val="24"/>
          <w:szCs w:val="24"/>
        </w:rPr>
        <w:t>Secara istilah, Ahlussunnah wal Jama’ah berarti orang-orang yang selalu berpedoman kepada sunnah Nabi SAW.dan jalan para Sahabatnya dalam masalah akidah keagamaan, amal-amal lahiriyah serta akhlak hati.</w:t>
      </w:r>
      <w:r>
        <w:rPr>
          <w:rStyle w:val="FootnoteReference"/>
          <w:rFonts w:asciiTheme="majorBidi" w:hAnsiTheme="majorBidi"/>
          <w:sz w:val="24"/>
          <w:szCs w:val="24"/>
        </w:rPr>
        <w:footnoteReference w:id="1"/>
      </w:r>
      <w:r>
        <w:rPr>
          <w:rFonts w:asciiTheme="majorBidi" w:hAnsiTheme="majorBidi" w:cs="Times New Roman"/>
          <w:sz w:val="24"/>
          <w:szCs w:val="24"/>
        </w:rPr>
        <w:t xml:space="preserve"> Dengan begitu, yang termasuk Ahlussunnah wal Jama’ah merupakan mereka yang pemahaman dan pengalaman agamanya didasarkan pada pemahaman dan pengalaman sahabat, dan kemudian sebagaimana yang dipahami dan diamalkan oleh generasi kemudian secara berkelanjutan yang bersandar pada mata rantai keilmuan (sanad) yang tidak terputus dan sampai pada Nabi SAW, baik dalam pandangan dan pemahaman </w:t>
      </w:r>
    </w:p>
    <w:p w14:paraId="78496869" w14:textId="77777777" w:rsidR="00754C61" w:rsidRDefault="00754C61" w:rsidP="00754C61">
      <w:pPr>
        <w:pStyle w:val="ListParagraph"/>
        <w:spacing w:line="480" w:lineRule="auto"/>
        <w:ind w:left="0"/>
        <w:jc w:val="both"/>
        <w:rPr>
          <w:rFonts w:asciiTheme="majorBidi" w:hAnsiTheme="majorBidi" w:cs="Times New Roman"/>
          <w:sz w:val="24"/>
          <w:szCs w:val="24"/>
        </w:rPr>
      </w:pPr>
      <w:r>
        <w:rPr>
          <w:rFonts w:asciiTheme="majorBidi" w:hAnsiTheme="majorBidi" w:cs="Times New Roman"/>
          <w:sz w:val="24"/>
          <w:szCs w:val="24"/>
        </w:rPr>
        <w:lastRenderedPageBreak/>
        <w:t>maupun metode memahami.</w:t>
      </w:r>
      <w:r>
        <w:rPr>
          <w:rStyle w:val="FootnoteReference"/>
          <w:rFonts w:asciiTheme="majorBidi" w:hAnsiTheme="majorBidi"/>
          <w:sz w:val="24"/>
          <w:szCs w:val="24"/>
        </w:rPr>
        <w:footnoteReference w:id="2"/>
      </w:r>
      <w:r>
        <w:rPr>
          <w:rFonts w:asciiTheme="majorBidi" w:hAnsiTheme="majorBidi" w:cs="Times New Roman"/>
          <w:sz w:val="24"/>
          <w:szCs w:val="24"/>
        </w:rPr>
        <w:t xml:space="preserve"> Pokok-pokok keyakinan yang berkaitan dengan tauhid dan selainnya menurut Ahlussunnah wal Jama’ah harus dilandasi oleh dalil dan argumentasi yang definitive (qath’i) dari Al-Qur’an, Hadits, Ijma’ ulama dan argumentasi akal yang sehat. Dengan begitu, paham Ahlussunnah wal Jama’ah selalu berlandasan hukum kepada Al-Qur’an, Hadits, Ijma’, dan Akal dalam mencari jalan keluar suatu permasalahan.</w:t>
      </w:r>
      <w:r>
        <w:rPr>
          <w:rStyle w:val="FootnoteReference"/>
          <w:rFonts w:asciiTheme="majorBidi" w:hAnsiTheme="majorBidi"/>
          <w:sz w:val="24"/>
          <w:szCs w:val="24"/>
        </w:rPr>
        <w:footnoteReference w:id="3"/>
      </w:r>
    </w:p>
    <w:p w14:paraId="333783F9" w14:textId="77777777" w:rsidR="00754C61" w:rsidRDefault="00754C61" w:rsidP="00754C61">
      <w:pPr>
        <w:pStyle w:val="ListParagraph"/>
        <w:spacing w:line="240" w:lineRule="auto"/>
        <w:ind w:left="0" w:firstLine="720"/>
        <w:jc w:val="both"/>
        <w:rPr>
          <w:rFonts w:asciiTheme="majorBidi" w:hAnsiTheme="majorBidi" w:cs="Times New Roman"/>
          <w:sz w:val="24"/>
          <w:szCs w:val="24"/>
        </w:rPr>
      </w:pPr>
    </w:p>
    <w:p w14:paraId="73CEBCCC" w14:textId="77777777" w:rsidR="00754C61" w:rsidRPr="00317BAD" w:rsidRDefault="00754C61" w:rsidP="00754C61">
      <w:pPr>
        <w:pStyle w:val="ListParagraph"/>
        <w:numPr>
          <w:ilvl w:val="0"/>
          <w:numId w:val="6"/>
        </w:numPr>
        <w:spacing w:line="480" w:lineRule="auto"/>
        <w:ind w:left="426"/>
        <w:jc w:val="both"/>
        <w:rPr>
          <w:rFonts w:asciiTheme="majorBidi" w:hAnsiTheme="majorBidi" w:cs="Times New Roman"/>
          <w:b/>
          <w:bCs/>
          <w:sz w:val="24"/>
          <w:szCs w:val="24"/>
        </w:rPr>
      </w:pPr>
      <w:r w:rsidRPr="00317BAD">
        <w:rPr>
          <w:rFonts w:asciiTheme="majorBidi" w:hAnsiTheme="majorBidi" w:cs="Times New Roman"/>
          <w:b/>
          <w:bCs/>
          <w:sz w:val="24"/>
          <w:szCs w:val="24"/>
        </w:rPr>
        <w:t>Sejarah Lahirnya Nahdhatul Ulama di Indonesia</w:t>
      </w:r>
    </w:p>
    <w:p w14:paraId="5D2DDA0A"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Di Indonesia, paham Aswaja memunculkan organisasi Islam yakni organisasi Nahdhatul ‘Ulama. Nahdhatul ‘Ulama merupakan organisasi yang pada mulanya didirikan oleh para alim ulama-pesantren sebelum kelahiran NU di Surabaya pada tahun 1926. </w:t>
      </w:r>
      <w:r>
        <w:rPr>
          <w:rStyle w:val="FootnoteReference"/>
          <w:rFonts w:asciiTheme="majorBidi" w:hAnsiTheme="majorBidi"/>
          <w:sz w:val="24"/>
          <w:szCs w:val="24"/>
        </w:rPr>
        <w:footnoteReference w:id="4"/>
      </w:r>
      <w:r>
        <w:rPr>
          <w:rFonts w:asciiTheme="majorBidi" w:hAnsiTheme="majorBidi" w:cs="Times New Roman"/>
          <w:sz w:val="24"/>
          <w:szCs w:val="24"/>
        </w:rPr>
        <w:t xml:space="preserve"> Nahdhatul Ulama merupakan pengungsung Islam tradisional di Indonesia. Tradisisonal disini mempunyai dua arti, yang satu bersifat merendahkan, yang mana berarti merendahkan jika dikembalikan ke bentuk kuno atau muslim kuno yang berasal dari desa dalam hal berintelektual, beragama, dan berbudaya. dan yang satunya bersifat netral (biasa saja), yaitu pemahaman mengenai muslim tradisional yang menunjukkan bahwa mereka adalah sekelompok orang yang percaya bahwa muslim yang tidak mempunyai keahlian khusus dalam berijtihad harus mengambil atau mengikuti dari salah satu empat madzhab hukum </w:t>
      </w:r>
      <w:r>
        <w:rPr>
          <w:rFonts w:asciiTheme="majorBidi" w:hAnsiTheme="majorBidi" w:cs="Times New Roman"/>
          <w:sz w:val="24"/>
          <w:szCs w:val="24"/>
        </w:rPr>
        <w:lastRenderedPageBreak/>
        <w:t>dan mengadopsi pendekatan yang bertahap dan toleran untuk berdakwah ketika berurusan dengan kearifan lokal atau tradisi setempat.</w:t>
      </w:r>
      <w:r>
        <w:rPr>
          <w:rStyle w:val="FootnoteReference"/>
          <w:rFonts w:asciiTheme="majorBidi" w:hAnsiTheme="majorBidi"/>
          <w:sz w:val="24"/>
          <w:szCs w:val="24"/>
        </w:rPr>
        <w:footnoteReference w:id="5"/>
      </w:r>
    </w:p>
    <w:p w14:paraId="43129C42"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Keunikan kelahiran NU terletak pada waktu dan karakter kemunculannya. Dalam hal waktu, pendirian NU tidak bisa dilihat hanya dari apa yang terjadi selama pendiriannya. NU telah ada selama lebih dari 93 tahun, tetapi masih mempertahankan karakter awalnya, meskipun maraknya perubahan sosial-politik di Negara ini. Selama 25 tahun, NU berada dibawah kekuasaan Belanda dan Jepang, 20 tahun berada di bawah pemerintahan Soekarno, lebih dari 32 tahun di bawah rezim Soeharto, dan sekarang di bawah proses demokratisasi Indonesia yang sedang berlangsung.</w:t>
      </w:r>
      <w:r>
        <w:rPr>
          <w:rStyle w:val="FootnoteReference"/>
          <w:rFonts w:asciiTheme="majorBidi" w:hAnsiTheme="majorBidi"/>
          <w:sz w:val="24"/>
          <w:szCs w:val="24"/>
        </w:rPr>
        <w:footnoteReference w:id="6"/>
      </w:r>
      <w:r>
        <w:rPr>
          <w:rFonts w:asciiTheme="majorBidi" w:hAnsiTheme="majorBidi" w:cs="Times New Roman"/>
          <w:sz w:val="24"/>
          <w:szCs w:val="24"/>
        </w:rPr>
        <w:t xml:space="preserve"> Sejak awal, kelahiran NU merupakan Jam’iyyah Ijtima’iyyah yang membangun Gerakan keagamaan pada level yang paling bawah, yakni masyarakat. Jika kita Kembali menengok sejarah, kelahiran NU tidak lain muncul karena keprihatinan akan upaya penghapusan kearifan lokal dalam membangun keberagaman masyarakat.</w:t>
      </w:r>
      <w:r>
        <w:rPr>
          <w:rStyle w:val="FootnoteReference"/>
          <w:rFonts w:asciiTheme="majorBidi" w:hAnsiTheme="majorBidi"/>
          <w:sz w:val="24"/>
          <w:szCs w:val="24"/>
        </w:rPr>
        <w:footnoteReference w:id="7"/>
      </w:r>
    </w:p>
    <w:p w14:paraId="3C0155A9" w14:textId="77777777" w:rsidR="00754C61" w:rsidRDefault="00754C61" w:rsidP="00754C61">
      <w:pPr>
        <w:pStyle w:val="ListParagraph"/>
        <w:spacing w:line="240" w:lineRule="auto"/>
        <w:ind w:left="0" w:firstLine="720"/>
        <w:jc w:val="both"/>
        <w:rPr>
          <w:rFonts w:asciiTheme="majorBidi" w:hAnsiTheme="majorBidi" w:cs="Times New Roman"/>
          <w:sz w:val="24"/>
          <w:szCs w:val="24"/>
        </w:rPr>
      </w:pPr>
    </w:p>
    <w:p w14:paraId="1A400B64" w14:textId="77777777" w:rsidR="00754C61" w:rsidRDefault="00754C61" w:rsidP="00754C61">
      <w:pPr>
        <w:pStyle w:val="ListParagraph"/>
        <w:numPr>
          <w:ilvl w:val="0"/>
          <w:numId w:val="6"/>
        </w:numPr>
        <w:spacing w:line="240" w:lineRule="auto"/>
        <w:ind w:left="426"/>
        <w:jc w:val="both"/>
        <w:rPr>
          <w:rFonts w:asciiTheme="majorBidi" w:hAnsiTheme="majorBidi" w:cs="Times New Roman"/>
          <w:b/>
          <w:bCs/>
          <w:sz w:val="24"/>
          <w:szCs w:val="24"/>
        </w:rPr>
      </w:pPr>
      <w:r w:rsidRPr="00317BAD">
        <w:rPr>
          <w:rFonts w:asciiTheme="majorBidi" w:hAnsiTheme="majorBidi" w:cs="Times New Roman"/>
          <w:b/>
          <w:bCs/>
          <w:sz w:val="24"/>
          <w:szCs w:val="24"/>
        </w:rPr>
        <w:t>Konsep NU Dalam Berdakwah</w:t>
      </w:r>
    </w:p>
    <w:p w14:paraId="2601AA63" w14:textId="77777777" w:rsidR="00754C61" w:rsidRPr="00317BAD" w:rsidRDefault="00754C61" w:rsidP="00754C61">
      <w:pPr>
        <w:pStyle w:val="ListParagraph"/>
        <w:spacing w:line="240" w:lineRule="auto"/>
        <w:ind w:left="426"/>
        <w:jc w:val="both"/>
        <w:rPr>
          <w:rFonts w:asciiTheme="majorBidi" w:hAnsiTheme="majorBidi" w:cs="Times New Roman"/>
          <w:b/>
          <w:bCs/>
          <w:sz w:val="24"/>
          <w:szCs w:val="24"/>
        </w:rPr>
      </w:pPr>
    </w:p>
    <w:p w14:paraId="28F24E24"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Konsep NU dalam menjalankan misi dakwahnya di Indonesia yakni menggunakan prinsip-prinsip Aswaja, diantaranya tawasuth (moderat), tawazun (berimbang), tasamuh (toleran), dan I’tidal (adil). Dengan adanya prinsip-prinsip tersebut NU dengan mudah menyebarkan dakwahnya sehingga menjadikan </w:t>
      </w:r>
      <w:r>
        <w:rPr>
          <w:rFonts w:asciiTheme="majorBidi" w:hAnsiTheme="majorBidi" w:cs="Times New Roman"/>
          <w:sz w:val="24"/>
          <w:szCs w:val="24"/>
        </w:rPr>
        <w:lastRenderedPageBreak/>
        <w:t>pemahaman keagamaan yang toleran. Berikut konsep-konsep keagamaan NU antara lain.</w:t>
      </w:r>
      <w:r>
        <w:rPr>
          <w:rStyle w:val="FootnoteReference"/>
          <w:rFonts w:asciiTheme="majorBidi" w:hAnsiTheme="majorBidi"/>
          <w:sz w:val="24"/>
          <w:szCs w:val="24"/>
        </w:rPr>
        <w:footnoteReference w:id="8"/>
      </w:r>
    </w:p>
    <w:p w14:paraId="72AC7B10" w14:textId="77777777" w:rsidR="00754C61" w:rsidRDefault="00754C61" w:rsidP="00754C61">
      <w:pPr>
        <w:pStyle w:val="ListParagraph"/>
        <w:numPr>
          <w:ilvl w:val="0"/>
          <w:numId w:val="7"/>
        </w:numPr>
        <w:spacing w:line="240" w:lineRule="auto"/>
        <w:ind w:left="426"/>
        <w:jc w:val="both"/>
        <w:rPr>
          <w:rFonts w:asciiTheme="majorBidi" w:hAnsiTheme="majorBidi" w:cs="Times New Roman"/>
          <w:sz w:val="24"/>
          <w:szCs w:val="24"/>
        </w:rPr>
      </w:pPr>
      <w:r w:rsidRPr="0040769B">
        <w:rPr>
          <w:rFonts w:asciiTheme="majorBidi" w:hAnsiTheme="majorBidi" w:cs="Times New Roman"/>
          <w:sz w:val="24"/>
          <w:szCs w:val="24"/>
        </w:rPr>
        <w:t>Tawasu</w:t>
      </w:r>
      <w:r w:rsidRPr="0040769B">
        <w:rPr>
          <w:rFonts w:ascii="Times New Arabic" w:hAnsi="Times New Arabic" w:cs="Times New Roman"/>
          <w:sz w:val="24"/>
          <w:szCs w:val="24"/>
        </w:rPr>
        <w:t>t</w:t>
      </w:r>
      <w:r>
        <w:rPr>
          <w:rFonts w:ascii="Times New Arabic" w:hAnsi="Times New Arabic" w:cs="Times New Roman"/>
          <w:sz w:val="24"/>
          <w:szCs w:val="24"/>
        </w:rPr>
        <w:t>}</w:t>
      </w:r>
    </w:p>
    <w:p w14:paraId="5DFA19A9" w14:textId="77777777" w:rsidR="00754C61" w:rsidRPr="00525C7C" w:rsidRDefault="00754C61" w:rsidP="00754C61">
      <w:pPr>
        <w:spacing w:line="480" w:lineRule="auto"/>
        <w:ind w:left="66" w:firstLine="654"/>
        <w:jc w:val="both"/>
        <w:rPr>
          <w:rFonts w:asciiTheme="majorBidi" w:hAnsiTheme="majorBidi" w:cs="Times New Roman"/>
          <w:sz w:val="24"/>
          <w:szCs w:val="24"/>
        </w:rPr>
      </w:pPr>
      <w:r w:rsidRPr="00525C7C">
        <w:rPr>
          <w:rFonts w:asciiTheme="majorBidi" w:hAnsiTheme="majorBidi" w:cs="Times New Roman"/>
          <w:sz w:val="24"/>
          <w:szCs w:val="24"/>
        </w:rPr>
        <w:t>Tawasu</w:t>
      </w:r>
      <w:r>
        <w:rPr>
          <w:rFonts w:ascii="Times New Arabic" w:hAnsi="Times New Arabic" w:cs="Times New Roman"/>
          <w:sz w:val="24"/>
          <w:szCs w:val="24"/>
        </w:rPr>
        <w:t>t}</w:t>
      </w:r>
      <w:r w:rsidRPr="00525C7C">
        <w:rPr>
          <w:rFonts w:asciiTheme="majorBidi" w:hAnsiTheme="majorBidi" w:cs="Times New Roman"/>
          <w:sz w:val="24"/>
          <w:szCs w:val="24"/>
        </w:rPr>
        <w:t xml:space="preserve"> sendiri mempunyai arti pertengahan. Kata tawasu</w:t>
      </w:r>
      <w:r>
        <w:rPr>
          <w:rFonts w:ascii="Times New Arabic" w:hAnsi="Times New Arabic" w:cs="Times New Roman"/>
          <w:sz w:val="24"/>
          <w:szCs w:val="24"/>
        </w:rPr>
        <w:t>t}</w:t>
      </w:r>
      <w:r w:rsidRPr="00525C7C">
        <w:rPr>
          <w:rFonts w:asciiTheme="majorBidi" w:hAnsiTheme="majorBidi" w:cs="Times New Roman"/>
          <w:sz w:val="24"/>
          <w:szCs w:val="24"/>
        </w:rPr>
        <w:t xml:space="preserve"> bersaal dari kata </w:t>
      </w:r>
      <w:r w:rsidRPr="0040769B">
        <w:rPr>
          <w:rFonts w:ascii="Times New Arabic" w:hAnsi="Times New Arabic" w:cs="Times New Roman"/>
          <w:sz w:val="24"/>
          <w:szCs w:val="24"/>
        </w:rPr>
        <w:t>wasa</w:t>
      </w:r>
      <w:r>
        <w:rPr>
          <w:rFonts w:ascii="Times New Arabic" w:hAnsi="Times New Arabic" w:cs="Times New Roman"/>
          <w:sz w:val="24"/>
          <w:szCs w:val="24"/>
        </w:rPr>
        <w:t>t}</w:t>
      </w:r>
      <w:proofErr w:type="gramStart"/>
      <w:r w:rsidRPr="0040769B">
        <w:rPr>
          <w:rFonts w:ascii="Times New Arabic" w:hAnsi="Times New Arabic" w:cs="Times New Roman"/>
          <w:sz w:val="24"/>
          <w:szCs w:val="24"/>
        </w:rPr>
        <w:t>an</w:t>
      </w:r>
      <w:proofErr w:type="gramEnd"/>
      <w:r w:rsidRPr="00525C7C">
        <w:rPr>
          <w:rFonts w:asciiTheme="majorBidi" w:hAnsiTheme="majorBidi" w:cs="Times New Roman"/>
          <w:sz w:val="24"/>
          <w:szCs w:val="24"/>
        </w:rPr>
        <w:t xml:space="preserve"> yang berarti pertengahan. Maksudnya yakni menempatkan diri diantara dua kutub dalam berbagai permasalahan dan keadaan untuk mencapai kebenaran. Serta menghindari ekstrim kanan atau ekstrim kiri yang bertentangan dengan asas Aswaja. Dalam hal ini, paham Aswaja selalu mengedepankan tengah-tengah baik dibidang hukum, akidah, atau akhlak. Selain itu juga mengedepankan pada prinsip hidup menjunjung tinggi keharusan bersikap adil, lurus di tengah-tengah kehidupan bersama, sehingga dapat menghindari dari berbagai bentuk pendekatan ekstrim.</w:t>
      </w:r>
    </w:p>
    <w:p w14:paraId="5EB7442E"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Ciri paling dasar Aswaja adalah tawasu</w:t>
      </w:r>
      <w:r>
        <w:rPr>
          <w:rFonts w:ascii="Times New Arabic" w:hAnsi="Times New Arabic" w:cs="Times New Roman"/>
          <w:sz w:val="24"/>
          <w:szCs w:val="24"/>
        </w:rPr>
        <w:t>t}</w:t>
      </w:r>
      <w:r>
        <w:rPr>
          <w:rFonts w:asciiTheme="majorBidi" w:hAnsiTheme="majorBidi" w:cs="Times New Roman"/>
          <w:sz w:val="24"/>
          <w:szCs w:val="24"/>
        </w:rPr>
        <w:t xml:space="preserve"> (moderat). Dengan sikap tawasu</w:t>
      </w:r>
      <w:r>
        <w:rPr>
          <w:rFonts w:ascii="Times New Arabic" w:hAnsi="Times New Arabic" w:cs="Times New Roman"/>
          <w:sz w:val="24"/>
          <w:szCs w:val="24"/>
        </w:rPr>
        <w:t>t}</w:t>
      </w:r>
      <w:r>
        <w:rPr>
          <w:rFonts w:asciiTheme="majorBidi" w:hAnsiTheme="majorBidi" w:cs="Times New Roman"/>
          <w:sz w:val="24"/>
          <w:szCs w:val="24"/>
        </w:rPr>
        <w:t xml:space="preserve"> ini mampu menjaga pengikut Aswaja dari prilaku keagamaan yang ekstrim. Selain itu, sikap tawasu</w:t>
      </w:r>
      <w:r>
        <w:rPr>
          <w:rFonts w:ascii="Times New Arabic" w:hAnsi="Times New Arabic" w:cs="Times New Roman"/>
          <w:sz w:val="24"/>
          <w:szCs w:val="24"/>
        </w:rPr>
        <w:t>t}</w:t>
      </w:r>
      <w:r>
        <w:rPr>
          <w:rFonts w:asciiTheme="majorBidi" w:hAnsiTheme="majorBidi" w:cs="Times New Roman"/>
          <w:sz w:val="24"/>
          <w:szCs w:val="24"/>
        </w:rPr>
        <w:t xml:space="preserve"> juga bisa melihat fenomena kehidupan secara proposional. karena kehidupan tidak bisa jauh dari budaya. Dengan begitu tujuan Aswaja adalah menyebarkan agama Islam dengan tidak menghapus nilai-nilai budaya. Faham Aswaja juga memandang dan memperlakukan budaya secara proposional, karena tentunya budaya memiliki nilai-nilai positif yang bisa dipertahankan bagi kehidupan manusia, baik secara personal maupaun sosial.</w:t>
      </w:r>
      <w:r>
        <w:rPr>
          <w:rStyle w:val="FootnoteReference"/>
          <w:rFonts w:asciiTheme="majorBidi" w:hAnsiTheme="majorBidi"/>
          <w:sz w:val="24"/>
          <w:szCs w:val="24"/>
        </w:rPr>
        <w:footnoteReference w:id="9"/>
      </w:r>
    </w:p>
    <w:p w14:paraId="37BF861B" w14:textId="77777777" w:rsidR="00754C61" w:rsidRDefault="00754C61" w:rsidP="00754C61">
      <w:pPr>
        <w:pStyle w:val="ListParagraph"/>
        <w:numPr>
          <w:ilvl w:val="0"/>
          <w:numId w:val="7"/>
        </w:numPr>
        <w:spacing w:line="240" w:lineRule="auto"/>
        <w:ind w:left="426"/>
        <w:jc w:val="both"/>
        <w:rPr>
          <w:rFonts w:asciiTheme="majorBidi" w:hAnsiTheme="majorBidi" w:cs="Times New Roman"/>
          <w:sz w:val="24"/>
          <w:szCs w:val="24"/>
        </w:rPr>
      </w:pPr>
      <w:r>
        <w:rPr>
          <w:rFonts w:asciiTheme="majorBidi" w:hAnsiTheme="majorBidi" w:cs="Times New Roman"/>
          <w:sz w:val="24"/>
          <w:szCs w:val="24"/>
        </w:rPr>
        <w:lastRenderedPageBreak/>
        <w:t>Tawazun</w:t>
      </w:r>
    </w:p>
    <w:p w14:paraId="49889B24" w14:textId="77777777" w:rsidR="00754C61" w:rsidRDefault="00754C61" w:rsidP="00754C61">
      <w:pPr>
        <w:spacing w:line="480" w:lineRule="auto"/>
        <w:ind w:left="66" w:firstLine="654"/>
        <w:jc w:val="both"/>
        <w:rPr>
          <w:rFonts w:asciiTheme="majorBidi" w:hAnsiTheme="majorBidi" w:cs="Times New Roman"/>
          <w:sz w:val="24"/>
          <w:szCs w:val="24"/>
        </w:rPr>
      </w:pPr>
      <w:r>
        <w:rPr>
          <w:rFonts w:asciiTheme="majorBidi" w:hAnsiTheme="majorBidi" w:cs="Times New Roman"/>
          <w:sz w:val="24"/>
          <w:szCs w:val="24"/>
        </w:rPr>
        <w:t>Tawazun memiliki arti seimbang. Sebagai prinsip Aswaja, tawazun berarti sikap yang berimbang dalam melakukan pertimbangan hukum atau kebijakan. Dalam menyikapi berbagai persoalan, disikapi dengan pola yang terukur, terkonsep, sehingga terpelihara secara seimbang antara persoalan dunia dan persoalan akhirat, kepentingan pribadi dan kepentingan umum, dan kepentingan masa kini dan masa datang.</w:t>
      </w:r>
      <w:r>
        <w:rPr>
          <w:rStyle w:val="FootnoteReference"/>
          <w:rFonts w:asciiTheme="majorBidi" w:hAnsiTheme="majorBidi"/>
          <w:sz w:val="24"/>
          <w:szCs w:val="24"/>
        </w:rPr>
        <w:footnoteReference w:id="10"/>
      </w:r>
    </w:p>
    <w:p w14:paraId="18B48C0C" w14:textId="77777777" w:rsidR="00754C61" w:rsidRDefault="00754C61" w:rsidP="00754C61">
      <w:pPr>
        <w:spacing w:line="480" w:lineRule="auto"/>
        <w:ind w:left="66" w:firstLine="654"/>
        <w:jc w:val="both"/>
        <w:rPr>
          <w:rFonts w:asciiTheme="majorBidi" w:hAnsiTheme="majorBidi" w:cs="Times New Roman"/>
          <w:sz w:val="24"/>
          <w:szCs w:val="24"/>
        </w:rPr>
      </w:pPr>
      <w:r>
        <w:rPr>
          <w:rFonts w:asciiTheme="majorBidi" w:hAnsiTheme="majorBidi" w:cs="Times New Roman"/>
          <w:sz w:val="24"/>
          <w:szCs w:val="24"/>
        </w:rPr>
        <w:t>Dalam artikel lain juga disebutkan bahwa tawazun diambil dari kata al-Waznu atau al-Mizan yang memiliki arti alat penyeimbang. sikap tawazun yakni sikap seimbang dalam berkhidmah, menyerasikan kepada Allah, Khidmah kepada sesame dan kepada lingkungan. Hal tersebut berarti sikap yang bisa menyeimbangkan antara kepentingan sekarang dengan kepentingan masa depan, tidak berlebihan atau kekurangan, dan tidak berat sebelah.</w:t>
      </w:r>
      <w:r>
        <w:rPr>
          <w:rStyle w:val="FootnoteReference"/>
          <w:rFonts w:asciiTheme="majorBidi" w:hAnsiTheme="majorBidi"/>
          <w:sz w:val="24"/>
          <w:szCs w:val="24"/>
        </w:rPr>
        <w:footnoteReference w:id="11"/>
      </w:r>
    </w:p>
    <w:p w14:paraId="616D6546" w14:textId="77777777" w:rsidR="00754C61" w:rsidRDefault="00754C61" w:rsidP="00754C61">
      <w:pPr>
        <w:pStyle w:val="ListParagraph"/>
        <w:numPr>
          <w:ilvl w:val="0"/>
          <w:numId w:val="7"/>
        </w:numPr>
        <w:spacing w:line="240" w:lineRule="auto"/>
        <w:ind w:left="426"/>
        <w:jc w:val="both"/>
        <w:rPr>
          <w:rFonts w:asciiTheme="majorBidi" w:hAnsiTheme="majorBidi" w:cs="Times New Roman"/>
          <w:sz w:val="24"/>
          <w:szCs w:val="24"/>
        </w:rPr>
      </w:pPr>
      <w:r>
        <w:rPr>
          <w:rFonts w:asciiTheme="majorBidi" w:hAnsiTheme="majorBidi" w:cs="Times New Roman"/>
          <w:sz w:val="24"/>
          <w:szCs w:val="24"/>
        </w:rPr>
        <w:t>Tasamuh</w:t>
      </w:r>
    </w:p>
    <w:p w14:paraId="3CD3221F" w14:textId="77777777" w:rsidR="00754C61" w:rsidRDefault="00754C61" w:rsidP="00754C61">
      <w:pPr>
        <w:pStyle w:val="ListParagraph"/>
        <w:spacing w:line="240" w:lineRule="auto"/>
        <w:ind w:left="426"/>
        <w:jc w:val="both"/>
        <w:rPr>
          <w:rFonts w:asciiTheme="majorBidi" w:hAnsiTheme="majorBidi" w:cs="Times New Roman"/>
          <w:sz w:val="24"/>
          <w:szCs w:val="24"/>
        </w:rPr>
      </w:pPr>
    </w:p>
    <w:p w14:paraId="0AD0C420"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 xml:space="preserve">Tasamuh berasal dari kata samhan yang memiliki arti kemudaham atau memudahkan. Tasamuh memiliki arti toleransi. Aswaja memiliki sikap tasamuh atau toleransi dalam hal perbedaan pendapat, perbedaan keyakinan, sosial kemasyarakatan, </w:t>
      </w:r>
      <w:proofErr w:type="gramStart"/>
      <w:r>
        <w:rPr>
          <w:rFonts w:asciiTheme="majorBidi" w:hAnsiTheme="majorBidi" w:cs="Times New Roman"/>
          <w:sz w:val="24"/>
          <w:szCs w:val="24"/>
        </w:rPr>
        <w:t>budaya ,</w:t>
      </w:r>
      <w:proofErr w:type="gramEnd"/>
      <w:r>
        <w:rPr>
          <w:rFonts w:asciiTheme="majorBidi" w:hAnsiTheme="majorBidi" w:cs="Times New Roman"/>
          <w:sz w:val="24"/>
          <w:szCs w:val="24"/>
        </w:rPr>
        <w:t xml:space="preserve"> dan perbedaan lainnya. Sikap tasamuh ini dapat </w:t>
      </w:r>
      <w:r>
        <w:rPr>
          <w:rFonts w:asciiTheme="majorBidi" w:hAnsiTheme="majorBidi" w:cs="Times New Roman"/>
          <w:sz w:val="24"/>
          <w:szCs w:val="24"/>
        </w:rPr>
        <w:lastRenderedPageBreak/>
        <w:t>diterapkan baik kepada sesame muslim maupun non muslim. Hal tersebut memunculkan istilah persaudaraan (ukhwah) dalam Aswaja.</w:t>
      </w:r>
      <w:r>
        <w:rPr>
          <w:rStyle w:val="FootnoteReference"/>
          <w:rFonts w:asciiTheme="majorBidi" w:hAnsiTheme="majorBidi"/>
          <w:sz w:val="24"/>
          <w:szCs w:val="24"/>
        </w:rPr>
        <w:footnoteReference w:id="12"/>
      </w:r>
    </w:p>
    <w:p w14:paraId="0600B055"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Tasamuh berarti menjunjung tinggi perbedaan dengan kesediaan menerima kebenaran dan kebaikan yang berasal dari pihak lain. Sikap tasamuh berarti memberikan ruang atau kesempatan kepada orang lain tanpa membeda-bedakan latar belakang apapun. Pertimbangannya hanyalah murni karena integritas, kualitas, dan kemampuan pribadi. Sikap ini juga tidak memandang seseorang baik dari keyakinan, budaya, ekonomi, sosial, dan lain sebagainya.</w:t>
      </w:r>
      <w:r>
        <w:rPr>
          <w:rStyle w:val="FootnoteReference"/>
          <w:rFonts w:asciiTheme="majorBidi" w:hAnsiTheme="majorBidi"/>
          <w:sz w:val="24"/>
          <w:szCs w:val="24"/>
        </w:rPr>
        <w:footnoteReference w:id="13"/>
      </w:r>
    </w:p>
    <w:p w14:paraId="637962E6" w14:textId="77777777" w:rsidR="00754C61" w:rsidRDefault="00754C61" w:rsidP="00754C61">
      <w:pPr>
        <w:pStyle w:val="ListParagraph"/>
        <w:numPr>
          <w:ilvl w:val="0"/>
          <w:numId w:val="7"/>
        </w:numPr>
        <w:spacing w:line="240" w:lineRule="auto"/>
        <w:ind w:left="426"/>
        <w:jc w:val="both"/>
        <w:rPr>
          <w:rFonts w:asciiTheme="majorBidi" w:hAnsiTheme="majorBidi" w:cs="Times New Roman"/>
          <w:sz w:val="24"/>
          <w:szCs w:val="24"/>
        </w:rPr>
      </w:pPr>
      <w:r>
        <w:rPr>
          <w:rFonts w:asciiTheme="majorBidi" w:hAnsiTheme="majorBidi" w:cs="Times New Roman"/>
          <w:sz w:val="24"/>
          <w:szCs w:val="24"/>
        </w:rPr>
        <w:t>I’tidal</w:t>
      </w:r>
    </w:p>
    <w:p w14:paraId="42D41055" w14:textId="77777777" w:rsidR="00754C61" w:rsidRDefault="00754C61" w:rsidP="00754C61">
      <w:pPr>
        <w:pStyle w:val="ListParagraph"/>
        <w:spacing w:line="240" w:lineRule="auto"/>
        <w:ind w:left="426"/>
        <w:jc w:val="both"/>
        <w:rPr>
          <w:rFonts w:asciiTheme="majorBidi" w:hAnsiTheme="majorBidi" w:cs="Times New Roman"/>
          <w:sz w:val="24"/>
          <w:szCs w:val="24"/>
        </w:rPr>
      </w:pPr>
    </w:p>
    <w:p w14:paraId="5C83739B"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I’tidal merupakan bersikap adil atau tegak lurus. Dalam menyikapi sesuatu persoalan berdasarkan hak dan kewajiban. Ketika menghadapi persoalan, seseorang dituntut untuk bersikap adil. Berari mengutarakan yang benar dan yang salah, walaupun terhadap seseorang yang mungkin pangkatnya lebih tinggi, atau berbeda agama, suku dan budaya.</w:t>
      </w:r>
      <w:r>
        <w:rPr>
          <w:rStyle w:val="FootnoteReference"/>
          <w:rFonts w:asciiTheme="majorBidi" w:hAnsiTheme="majorBidi"/>
          <w:sz w:val="24"/>
          <w:szCs w:val="24"/>
        </w:rPr>
        <w:footnoteReference w:id="14"/>
      </w:r>
    </w:p>
    <w:p w14:paraId="39F6DC46" w14:textId="77777777" w:rsidR="00754C61" w:rsidRPr="005F3D28" w:rsidRDefault="00754C61" w:rsidP="00754C61">
      <w:pPr>
        <w:pStyle w:val="ListParagraph"/>
        <w:spacing w:line="240" w:lineRule="auto"/>
        <w:ind w:left="0"/>
        <w:jc w:val="both"/>
        <w:rPr>
          <w:rFonts w:asciiTheme="majorBidi" w:hAnsiTheme="majorBidi" w:cs="Times New Roman"/>
          <w:sz w:val="24"/>
          <w:szCs w:val="24"/>
        </w:rPr>
      </w:pPr>
    </w:p>
    <w:p w14:paraId="4E6D3089" w14:textId="77777777" w:rsidR="00754C61" w:rsidRPr="00317BAD" w:rsidRDefault="00754C61" w:rsidP="00754C61">
      <w:pPr>
        <w:pStyle w:val="ListParagraph"/>
        <w:numPr>
          <w:ilvl w:val="0"/>
          <w:numId w:val="6"/>
        </w:numPr>
        <w:spacing w:line="480" w:lineRule="auto"/>
        <w:ind w:left="426"/>
        <w:jc w:val="both"/>
        <w:rPr>
          <w:rFonts w:asciiTheme="majorBidi" w:hAnsiTheme="majorBidi" w:cs="Times New Roman"/>
          <w:b/>
          <w:bCs/>
          <w:sz w:val="24"/>
          <w:szCs w:val="24"/>
        </w:rPr>
      </w:pPr>
      <w:r w:rsidRPr="00317BAD">
        <w:rPr>
          <w:rFonts w:asciiTheme="majorBidi" w:hAnsiTheme="majorBidi" w:cs="Times New Roman"/>
          <w:b/>
          <w:bCs/>
          <w:sz w:val="24"/>
          <w:szCs w:val="24"/>
        </w:rPr>
        <w:t>Amaliah-Amaliah Nahdhatul Ulama (NU)</w:t>
      </w:r>
    </w:p>
    <w:p w14:paraId="4DEBE012"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r>
        <w:rPr>
          <w:rFonts w:asciiTheme="majorBidi" w:hAnsiTheme="majorBidi" w:cs="Times New Roman"/>
          <w:sz w:val="24"/>
          <w:szCs w:val="24"/>
        </w:rPr>
        <w:t>Dalam KBBI amaliah berarti sesuatu yang mengandung amal.</w:t>
      </w:r>
      <w:r>
        <w:rPr>
          <w:rStyle w:val="FootnoteReference"/>
          <w:rFonts w:asciiTheme="majorBidi" w:hAnsiTheme="majorBidi"/>
          <w:sz w:val="24"/>
          <w:szCs w:val="24"/>
        </w:rPr>
        <w:footnoteReference w:id="15"/>
      </w:r>
      <w:r>
        <w:rPr>
          <w:rFonts w:asciiTheme="majorBidi" w:hAnsiTheme="majorBidi" w:cs="Times New Roman"/>
          <w:sz w:val="24"/>
          <w:szCs w:val="24"/>
        </w:rPr>
        <w:t xml:space="preserve"> Amaliah merupakan suatu bentuk pekerjaan yang mengahsilkan pahala. Amaliah-amaliah NU berarti suatu bentuk tradisi atau kebiasaan yang dianjurkan oleh paham </w:t>
      </w:r>
      <w:r>
        <w:rPr>
          <w:rFonts w:asciiTheme="majorBidi" w:hAnsiTheme="majorBidi" w:cs="Times New Roman"/>
          <w:sz w:val="24"/>
          <w:szCs w:val="24"/>
        </w:rPr>
        <w:lastRenderedPageBreak/>
        <w:t xml:space="preserve">Aswaja.NU adalah organisasi yang dilahirkan di tanah jawa, yang mana masyarakat jawa sendiri memiliki berbagai macam tradisi dan budaya. Demi mewujudkan dakwahnya, NU menggunakan atau meniru strategi dakwah yang dilakukan oleh Walisongo dalam menyebarkan agama Islam di tanah jawa.  Dengan begitu, beberapa tradisi seperti tahlilan, sholawatan, yasinan, istighotsahan, manaqiban, hingga tradisi berbau budaya seperti ziaroh kubur, peringatan hari besar Islam dijadikan suatu kebutuhan bagi pengikut NU. </w:t>
      </w:r>
      <w:r>
        <w:rPr>
          <w:rStyle w:val="FootnoteReference"/>
          <w:rFonts w:asciiTheme="majorBidi" w:hAnsiTheme="majorBidi"/>
          <w:sz w:val="24"/>
          <w:szCs w:val="24"/>
        </w:rPr>
        <w:footnoteReference w:id="16"/>
      </w:r>
    </w:p>
    <w:p w14:paraId="6CFFE662" w14:textId="77777777" w:rsidR="00754C61" w:rsidRDefault="00754C61" w:rsidP="00754C61">
      <w:pPr>
        <w:spacing w:line="480" w:lineRule="auto"/>
        <w:jc w:val="both"/>
        <w:rPr>
          <w:rFonts w:asciiTheme="majorBidi" w:hAnsiTheme="majorBidi" w:cs="Times New Roman"/>
          <w:sz w:val="24"/>
          <w:szCs w:val="24"/>
        </w:rPr>
      </w:pPr>
      <w:r>
        <w:rPr>
          <w:rFonts w:asciiTheme="majorBidi" w:hAnsiTheme="majorBidi" w:cs="Times New Roman"/>
          <w:sz w:val="24"/>
          <w:szCs w:val="24"/>
        </w:rPr>
        <w:t>Diantara praktik amaliah Ahlussunnah wal Jama’ah adalah:</w:t>
      </w:r>
      <w:r>
        <w:rPr>
          <w:rStyle w:val="FootnoteReference"/>
          <w:rFonts w:asciiTheme="majorBidi" w:hAnsiTheme="majorBidi"/>
          <w:sz w:val="24"/>
          <w:szCs w:val="24"/>
        </w:rPr>
        <w:footnoteReference w:id="17"/>
      </w:r>
    </w:p>
    <w:p w14:paraId="30362142"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Mempelajari Al-Qur’an dan mengajarkannya</w:t>
      </w:r>
    </w:p>
    <w:p w14:paraId="27A6AAEF"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Bershalawat (dziba’an, barzanji) dan penyebutan “Sayyidina” kepada Nabi Muhammad SAW.</w:t>
      </w:r>
    </w:p>
    <w:p w14:paraId="3FF85104"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Penghormatan kepada para sahabat, wali, dan ulama.</w:t>
      </w:r>
    </w:p>
    <w:p w14:paraId="3448D727"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Melafadzkan niat sebelum sholat.</w:t>
      </w:r>
    </w:p>
    <w:p w14:paraId="6972BEB2"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Do’a qunut dalam shalat subuh.</w:t>
      </w:r>
    </w:p>
    <w:p w14:paraId="720A9019"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Melakukan talqinul mayit.</w:t>
      </w:r>
    </w:p>
    <w:p w14:paraId="1A46FC55"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Adzan dua kali pada saat shalat jum’at.</w:t>
      </w:r>
    </w:p>
    <w:p w14:paraId="304AF610"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Ziarah kubur.</w:t>
      </w:r>
    </w:p>
    <w:p w14:paraId="46CE8B98"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Penentuan awal Ramadhan dan 1 Syawal dengan ru’yah.</w:t>
      </w:r>
    </w:p>
    <w:p w14:paraId="7CCE2081" w14:textId="77777777" w:rsidR="00754C61" w:rsidRDefault="00754C61" w:rsidP="00754C61">
      <w:pPr>
        <w:pStyle w:val="ListParagraph"/>
        <w:numPr>
          <w:ilvl w:val="0"/>
          <w:numId w:val="2"/>
        </w:numPr>
        <w:spacing w:line="480" w:lineRule="auto"/>
        <w:ind w:left="426"/>
        <w:jc w:val="both"/>
        <w:rPr>
          <w:rFonts w:asciiTheme="majorBidi" w:hAnsiTheme="majorBidi" w:cs="Times New Roman"/>
          <w:sz w:val="24"/>
          <w:szCs w:val="24"/>
        </w:rPr>
      </w:pPr>
      <w:r>
        <w:rPr>
          <w:rFonts w:asciiTheme="majorBidi" w:hAnsiTheme="majorBidi" w:cs="Times New Roman"/>
          <w:sz w:val="24"/>
          <w:szCs w:val="24"/>
        </w:rPr>
        <w:t xml:space="preserve"> Tradisi tarhiman di bulan Ramadhan.</w:t>
      </w:r>
    </w:p>
    <w:p w14:paraId="0AC1F059" w14:textId="77777777" w:rsidR="00754C61" w:rsidRDefault="00754C61" w:rsidP="00754C61">
      <w:pPr>
        <w:pStyle w:val="ListParagraph"/>
        <w:spacing w:line="240" w:lineRule="auto"/>
        <w:ind w:left="426"/>
        <w:jc w:val="both"/>
        <w:rPr>
          <w:rFonts w:asciiTheme="majorBidi" w:hAnsiTheme="majorBidi" w:cs="Times New Roman"/>
          <w:sz w:val="24"/>
          <w:szCs w:val="24"/>
        </w:rPr>
      </w:pPr>
    </w:p>
    <w:p w14:paraId="4D2E46FF" w14:textId="77777777" w:rsidR="00754C61" w:rsidRPr="00EF66B8" w:rsidRDefault="00754C61" w:rsidP="00754C61">
      <w:pPr>
        <w:pStyle w:val="ListParagraph"/>
        <w:numPr>
          <w:ilvl w:val="0"/>
          <w:numId w:val="1"/>
        </w:numPr>
        <w:spacing w:line="480" w:lineRule="auto"/>
        <w:ind w:left="0" w:hanging="284"/>
        <w:jc w:val="both"/>
        <w:rPr>
          <w:rFonts w:asciiTheme="majorBidi" w:hAnsiTheme="majorBidi" w:cs="Times New Roman"/>
          <w:b/>
          <w:bCs/>
          <w:sz w:val="24"/>
          <w:szCs w:val="24"/>
        </w:rPr>
      </w:pPr>
      <w:r>
        <w:rPr>
          <w:rFonts w:asciiTheme="majorBidi" w:hAnsiTheme="majorBidi" w:cs="Times New Roman"/>
          <w:b/>
          <w:bCs/>
          <w:sz w:val="24"/>
          <w:szCs w:val="24"/>
        </w:rPr>
        <w:lastRenderedPageBreak/>
        <w:t>F</w:t>
      </w:r>
      <w:r w:rsidRPr="00EF66B8">
        <w:rPr>
          <w:rFonts w:asciiTheme="majorBidi" w:hAnsiTheme="majorBidi" w:cs="Times New Roman"/>
          <w:b/>
          <w:bCs/>
          <w:sz w:val="24"/>
          <w:szCs w:val="24"/>
        </w:rPr>
        <w:t>aham Radikalisme</w:t>
      </w:r>
    </w:p>
    <w:p w14:paraId="0366751D" w14:textId="77777777" w:rsidR="00754C61" w:rsidRPr="00317BAD" w:rsidRDefault="00754C61" w:rsidP="00754C61">
      <w:pPr>
        <w:pStyle w:val="ListParagraph"/>
        <w:numPr>
          <w:ilvl w:val="0"/>
          <w:numId w:val="3"/>
        </w:numPr>
        <w:spacing w:line="240" w:lineRule="auto"/>
        <w:ind w:left="426"/>
        <w:jc w:val="both"/>
        <w:rPr>
          <w:rFonts w:asciiTheme="majorBidi" w:hAnsiTheme="majorBidi" w:cs="Times New Roman"/>
          <w:b/>
          <w:bCs/>
          <w:sz w:val="24"/>
          <w:szCs w:val="24"/>
        </w:rPr>
      </w:pPr>
      <w:r w:rsidRPr="00317BAD">
        <w:rPr>
          <w:rFonts w:asciiTheme="majorBidi" w:hAnsiTheme="majorBidi" w:cs="Times New Roman"/>
          <w:b/>
          <w:bCs/>
          <w:sz w:val="24"/>
          <w:szCs w:val="24"/>
        </w:rPr>
        <w:t>Pengertian Radikalisme</w:t>
      </w:r>
    </w:p>
    <w:p w14:paraId="0CA79029" w14:textId="77777777" w:rsidR="00754C61" w:rsidRDefault="00754C61" w:rsidP="00754C61">
      <w:pPr>
        <w:spacing w:line="480" w:lineRule="auto"/>
        <w:ind w:left="66" w:firstLine="654"/>
        <w:jc w:val="both"/>
        <w:rPr>
          <w:rFonts w:asciiTheme="majorBidi" w:hAnsiTheme="majorBidi" w:cs="Times New Roman"/>
          <w:sz w:val="24"/>
          <w:szCs w:val="24"/>
        </w:rPr>
      </w:pPr>
      <w:r>
        <w:rPr>
          <w:rFonts w:asciiTheme="majorBidi" w:hAnsiTheme="majorBidi" w:cs="Times New Roman"/>
          <w:sz w:val="24"/>
          <w:szCs w:val="24"/>
        </w:rPr>
        <w:t>Secara Bahasa, radikalisme berasal dari Bahasa latin radix yang berarti akar. Dalam Bahasa Inggris, kata radic dapat mempunyai makna ekstrim, menyeluruh, fanatic, revolusioner, ultra, dan fundamental. Sedangkan menurut istilah radicalism berarti doktrin atau praktik penganut paham radikal atau paham  ekstrim.</w:t>
      </w:r>
      <w:r>
        <w:rPr>
          <w:rStyle w:val="FootnoteReference"/>
          <w:rFonts w:asciiTheme="majorBidi" w:hAnsiTheme="majorBidi"/>
          <w:sz w:val="24"/>
          <w:szCs w:val="24"/>
        </w:rPr>
        <w:footnoteReference w:id="18"/>
      </w:r>
      <w:r>
        <w:rPr>
          <w:rFonts w:asciiTheme="majorBidi" w:hAnsiTheme="majorBidi" w:cs="Times New Roman"/>
          <w:sz w:val="24"/>
          <w:szCs w:val="24"/>
        </w:rPr>
        <w:t xml:space="preserve"> Dalam Kamus Besar Bahasa Indonesia, Radikalisme berarti paham atau aliran yang menginginkan perubahan atau pembaharuan sosial dan politik dengan cara kekerasan atau drastis.</w:t>
      </w:r>
      <w:r>
        <w:rPr>
          <w:rStyle w:val="FootnoteReference"/>
          <w:rFonts w:asciiTheme="majorBidi" w:hAnsiTheme="majorBidi"/>
          <w:sz w:val="24"/>
          <w:szCs w:val="24"/>
        </w:rPr>
        <w:footnoteReference w:id="19"/>
      </w:r>
      <w:r>
        <w:rPr>
          <w:rFonts w:asciiTheme="majorBidi" w:hAnsiTheme="majorBidi" w:cs="Times New Roman"/>
          <w:sz w:val="24"/>
          <w:szCs w:val="24"/>
        </w:rPr>
        <w:t xml:space="preserve"> Disisi lain, menurut Ahmad Asrori dalam penelitiannya radikalisme merupakan suatu aliran yang dibuat oleh sekelompok orang yang bertujuan untuk melakukan perubahan atau pembaharuan sosial politik secara besar-besaran dan menggunakan kekerasan.</w:t>
      </w:r>
      <w:r>
        <w:rPr>
          <w:rStyle w:val="FootnoteReference"/>
          <w:rFonts w:asciiTheme="majorBidi" w:hAnsiTheme="majorBidi"/>
          <w:sz w:val="24"/>
          <w:szCs w:val="24"/>
        </w:rPr>
        <w:footnoteReference w:id="20"/>
      </w:r>
      <w:r>
        <w:rPr>
          <w:rFonts w:asciiTheme="majorBidi" w:hAnsiTheme="majorBidi" w:cs="Times New Roman"/>
          <w:sz w:val="24"/>
          <w:szCs w:val="24"/>
        </w:rPr>
        <w:t xml:space="preserve"> Dengan demikian, radikalisme merupakan gejala umum yang bisa terjadi dalam suatu masyarakat dengan motif beragam, baik sosial, politik, budaya, maupun agama, yang mana ditandai dengan Tindakan-tindakan keras, ekstrim, dan anarkis sebagai wujud dari penolakan terhadap gejala yang dihadapi. </w:t>
      </w:r>
    </w:p>
    <w:p w14:paraId="13523855" w14:textId="77777777" w:rsidR="00754C61" w:rsidRDefault="00754C61" w:rsidP="00754C61">
      <w:pPr>
        <w:spacing w:line="480" w:lineRule="auto"/>
        <w:ind w:left="66" w:firstLine="654"/>
        <w:jc w:val="both"/>
        <w:rPr>
          <w:rFonts w:asciiTheme="majorBidi" w:hAnsiTheme="majorBidi" w:cs="Times New Roman"/>
          <w:sz w:val="24"/>
          <w:szCs w:val="24"/>
        </w:rPr>
      </w:pPr>
      <w:r>
        <w:rPr>
          <w:rFonts w:asciiTheme="majorBidi" w:hAnsiTheme="majorBidi" w:cs="Times New Roman"/>
          <w:sz w:val="24"/>
          <w:szCs w:val="24"/>
        </w:rPr>
        <w:t xml:space="preserve">Dari berbagai pengertian diatas mengenai faham radikalisme, dapat disimpulkan bahwa gerakan radikalisme merupakan semangat yang membawa kepada Tindakan kekerasan dan anarkis yang bertujuan untuk melemahkan bahkan </w:t>
      </w:r>
      <w:r>
        <w:rPr>
          <w:rFonts w:asciiTheme="majorBidi" w:hAnsiTheme="majorBidi" w:cs="Times New Roman"/>
          <w:sz w:val="24"/>
          <w:szCs w:val="24"/>
        </w:rPr>
        <w:lastRenderedPageBreak/>
        <w:t>mengganti tatanan politik atau apapun dengan tatanan baru, gagasan baru, dan pemahaman baru. Apabila dilihat dari sisi agama Islam, paham radikalisme terlihat sangat kaku dan berpandangan kolot dalam berpendapat. Mereka menganggap paling benar dalam urusan beragama dan menganggap paling sesui dengan Al-Qur’an dan Hadits. Hal tersebut tidak sesuai dengan ajaran agama Islam yang merupakan agama kedamaian, yang selalu menyebarkan ajarannya dengan kedamaian dan tidak menggunakan kekerasan.</w:t>
      </w:r>
    </w:p>
    <w:p w14:paraId="5447DAA3" w14:textId="77777777" w:rsidR="00754C61" w:rsidRDefault="00754C61" w:rsidP="00754C61">
      <w:pPr>
        <w:spacing w:line="240" w:lineRule="auto"/>
        <w:ind w:left="66" w:firstLine="654"/>
        <w:jc w:val="both"/>
        <w:rPr>
          <w:rFonts w:asciiTheme="majorBidi" w:hAnsiTheme="majorBidi" w:cs="Times New Roman"/>
          <w:sz w:val="24"/>
          <w:szCs w:val="24"/>
        </w:rPr>
      </w:pPr>
    </w:p>
    <w:p w14:paraId="639B7D2C" w14:textId="77777777" w:rsidR="00754C61" w:rsidRPr="00317BAD" w:rsidRDefault="00754C61" w:rsidP="00754C61">
      <w:pPr>
        <w:pStyle w:val="ListParagraph"/>
        <w:numPr>
          <w:ilvl w:val="0"/>
          <w:numId w:val="3"/>
        </w:numPr>
        <w:spacing w:line="240" w:lineRule="auto"/>
        <w:ind w:left="426"/>
        <w:jc w:val="both"/>
        <w:rPr>
          <w:rFonts w:asciiTheme="majorBidi" w:hAnsiTheme="majorBidi" w:cs="Times New Roman"/>
          <w:b/>
          <w:bCs/>
          <w:sz w:val="24"/>
          <w:szCs w:val="24"/>
        </w:rPr>
      </w:pPr>
      <w:r w:rsidRPr="00317BAD">
        <w:rPr>
          <w:rFonts w:asciiTheme="majorBidi" w:hAnsiTheme="majorBidi" w:cs="Times New Roman"/>
          <w:b/>
          <w:bCs/>
          <w:sz w:val="24"/>
          <w:szCs w:val="24"/>
        </w:rPr>
        <w:t>Ciri-Ciri Radikalisme</w:t>
      </w:r>
    </w:p>
    <w:p w14:paraId="5F1DF8A5" w14:textId="77777777" w:rsidR="00754C61" w:rsidRDefault="00754C61" w:rsidP="00754C61">
      <w:pPr>
        <w:spacing w:line="480" w:lineRule="auto"/>
        <w:ind w:firstLine="720"/>
        <w:jc w:val="both"/>
        <w:rPr>
          <w:rFonts w:asciiTheme="majorBidi" w:hAnsiTheme="majorBidi" w:cs="Times New Roman"/>
          <w:sz w:val="24"/>
          <w:szCs w:val="24"/>
        </w:rPr>
      </w:pPr>
      <w:r>
        <w:rPr>
          <w:rFonts w:asciiTheme="majorBidi" w:hAnsiTheme="majorBidi" w:cs="Times New Roman"/>
          <w:sz w:val="24"/>
          <w:szCs w:val="24"/>
        </w:rPr>
        <w:t xml:space="preserve">Dari pengertian radikalisme dan sifat dari kelompok radikal, mereka mempunyai beberapa ciri-ciri yang menandakan bahwa mereka adalah kelompok radikal, diantaranya </w:t>
      </w:r>
      <w:proofErr w:type="gramStart"/>
      <w:r>
        <w:rPr>
          <w:rFonts w:asciiTheme="majorBidi" w:hAnsiTheme="majorBidi" w:cs="Times New Roman"/>
          <w:sz w:val="24"/>
          <w:szCs w:val="24"/>
        </w:rPr>
        <w:t>adalah :</w:t>
      </w:r>
      <w:proofErr w:type="gramEnd"/>
    </w:p>
    <w:p w14:paraId="1BD8AEDB" w14:textId="77777777" w:rsidR="00754C61" w:rsidRDefault="00754C61" w:rsidP="00754C61">
      <w:pPr>
        <w:pStyle w:val="ListParagraph"/>
        <w:numPr>
          <w:ilvl w:val="0"/>
          <w:numId w:val="4"/>
        </w:numPr>
        <w:spacing w:line="480" w:lineRule="auto"/>
        <w:ind w:left="426"/>
        <w:jc w:val="both"/>
        <w:rPr>
          <w:rFonts w:asciiTheme="majorBidi" w:hAnsiTheme="majorBidi" w:cs="Times New Roman"/>
          <w:sz w:val="24"/>
          <w:szCs w:val="24"/>
        </w:rPr>
      </w:pPr>
      <w:r w:rsidRPr="00525C7C">
        <w:rPr>
          <w:rFonts w:asciiTheme="majorBidi" w:hAnsiTheme="majorBidi" w:cs="Times New Roman"/>
          <w:sz w:val="24"/>
          <w:szCs w:val="24"/>
        </w:rPr>
        <w:t>Sering mengklaim kebenaran tunggal dan menyesatkan kelompok lain yang tak sependapat.</w:t>
      </w:r>
    </w:p>
    <w:p w14:paraId="62B8C406" w14:textId="77777777" w:rsidR="00754C61" w:rsidRDefault="00754C61" w:rsidP="00754C61">
      <w:pPr>
        <w:pStyle w:val="ListParagraph"/>
        <w:numPr>
          <w:ilvl w:val="0"/>
          <w:numId w:val="4"/>
        </w:numPr>
        <w:spacing w:line="480" w:lineRule="auto"/>
        <w:ind w:left="426"/>
        <w:jc w:val="both"/>
        <w:rPr>
          <w:rFonts w:asciiTheme="majorBidi" w:hAnsiTheme="majorBidi" w:cs="Times New Roman"/>
          <w:sz w:val="24"/>
          <w:szCs w:val="24"/>
        </w:rPr>
      </w:pPr>
      <w:r w:rsidRPr="00525C7C">
        <w:rPr>
          <w:rFonts w:asciiTheme="majorBidi" w:hAnsiTheme="majorBidi" w:cs="Times New Roman"/>
          <w:sz w:val="24"/>
          <w:szCs w:val="24"/>
        </w:rPr>
        <w:t>Kelompok radikalisme mempersulit agama Islam yang sejatinya ringan dianggap menjadi berat, seperti contoh ibadah sunnah dianggap seakan-akan wajib, dan hukum makruh dianggap sekan-akan menjadi hukum haram.</w:t>
      </w:r>
    </w:p>
    <w:p w14:paraId="65450A6C" w14:textId="77777777" w:rsidR="00754C61" w:rsidRDefault="00754C61" w:rsidP="00754C61">
      <w:pPr>
        <w:pStyle w:val="ListParagraph"/>
        <w:numPr>
          <w:ilvl w:val="0"/>
          <w:numId w:val="4"/>
        </w:numPr>
        <w:spacing w:line="480" w:lineRule="auto"/>
        <w:ind w:left="426"/>
        <w:jc w:val="both"/>
        <w:rPr>
          <w:rFonts w:asciiTheme="majorBidi" w:hAnsiTheme="majorBidi" w:cs="Times New Roman"/>
          <w:sz w:val="24"/>
          <w:szCs w:val="24"/>
        </w:rPr>
      </w:pPr>
      <w:r w:rsidRPr="00525C7C">
        <w:rPr>
          <w:rFonts w:asciiTheme="majorBidi" w:hAnsiTheme="majorBidi" w:cs="Times New Roman"/>
          <w:sz w:val="24"/>
          <w:szCs w:val="24"/>
        </w:rPr>
        <w:t>Kelompok radikal biasanya berlebihan dalam beragama yang tidak pada tempatnya. Dalam berdakwah mereka tidak menggunakan metode yang diterapkan oleh Nabi, sehingga orang awam yang mendengarkan merasa keberatan dan ketakutan.</w:t>
      </w:r>
    </w:p>
    <w:p w14:paraId="24ADAED2" w14:textId="77777777" w:rsidR="00754C61" w:rsidRDefault="00754C61" w:rsidP="00754C61">
      <w:pPr>
        <w:pStyle w:val="ListParagraph"/>
        <w:numPr>
          <w:ilvl w:val="0"/>
          <w:numId w:val="4"/>
        </w:numPr>
        <w:spacing w:line="480" w:lineRule="auto"/>
        <w:ind w:left="426"/>
        <w:jc w:val="both"/>
        <w:rPr>
          <w:rFonts w:asciiTheme="majorBidi" w:hAnsiTheme="majorBidi" w:cs="Times New Roman"/>
          <w:sz w:val="24"/>
          <w:szCs w:val="24"/>
        </w:rPr>
      </w:pPr>
      <w:r w:rsidRPr="00525C7C">
        <w:rPr>
          <w:rFonts w:asciiTheme="majorBidi" w:hAnsiTheme="majorBidi" w:cs="Times New Roman"/>
          <w:sz w:val="24"/>
          <w:szCs w:val="24"/>
        </w:rPr>
        <w:t>Kasar dalam berinteraksi, keras dalam berbicara dan emosional dalam berdakwah.</w:t>
      </w:r>
    </w:p>
    <w:p w14:paraId="3618831C" w14:textId="77777777" w:rsidR="00754C61" w:rsidRDefault="00754C61" w:rsidP="00754C61">
      <w:pPr>
        <w:pStyle w:val="ListParagraph"/>
        <w:numPr>
          <w:ilvl w:val="0"/>
          <w:numId w:val="4"/>
        </w:numPr>
        <w:spacing w:line="480" w:lineRule="auto"/>
        <w:ind w:left="426"/>
        <w:jc w:val="both"/>
        <w:rPr>
          <w:rFonts w:asciiTheme="majorBidi" w:hAnsiTheme="majorBidi" w:cs="Times New Roman"/>
          <w:sz w:val="24"/>
          <w:szCs w:val="24"/>
        </w:rPr>
      </w:pPr>
      <w:r w:rsidRPr="00525C7C">
        <w:rPr>
          <w:rFonts w:asciiTheme="majorBidi" w:hAnsiTheme="majorBidi" w:cs="Times New Roman"/>
          <w:sz w:val="24"/>
          <w:szCs w:val="24"/>
        </w:rPr>
        <w:lastRenderedPageBreak/>
        <w:t>Kelompok radikal mudah bersuudzon kepada kelompok lain yang tidak sepaham dengan mereka.</w:t>
      </w:r>
    </w:p>
    <w:p w14:paraId="656A9453" w14:textId="77777777" w:rsidR="00754C61" w:rsidRDefault="00754C61" w:rsidP="00754C61">
      <w:pPr>
        <w:pStyle w:val="ListParagraph"/>
        <w:numPr>
          <w:ilvl w:val="0"/>
          <w:numId w:val="4"/>
        </w:numPr>
        <w:spacing w:line="480" w:lineRule="auto"/>
        <w:ind w:left="426"/>
        <w:jc w:val="both"/>
        <w:rPr>
          <w:rFonts w:asciiTheme="majorBidi" w:hAnsiTheme="majorBidi" w:cs="Times New Roman"/>
          <w:sz w:val="24"/>
          <w:szCs w:val="24"/>
        </w:rPr>
      </w:pPr>
      <w:r w:rsidRPr="00525C7C">
        <w:rPr>
          <w:rFonts w:asciiTheme="majorBidi" w:hAnsiTheme="majorBidi" w:cs="Times New Roman"/>
          <w:sz w:val="24"/>
          <w:szCs w:val="24"/>
        </w:rPr>
        <w:t>Mudah sekali mengkafirkan seseorang yang berbeda pendapat dengan mereka.</w:t>
      </w:r>
      <w:r>
        <w:rPr>
          <w:rStyle w:val="FootnoteReference"/>
          <w:rFonts w:asciiTheme="majorBidi" w:hAnsiTheme="majorBidi"/>
          <w:sz w:val="24"/>
          <w:szCs w:val="24"/>
        </w:rPr>
        <w:footnoteReference w:id="21"/>
      </w:r>
    </w:p>
    <w:p w14:paraId="44C9151C" w14:textId="77777777" w:rsidR="00754C61" w:rsidRPr="00525C7C" w:rsidRDefault="00754C61" w:rsidP="00754C61">
      <w:pPr>
        <w:spacing w:line="240" w:lineRule="auto"/>
        <w:jc w:val="both"/>
        <w:rPr>
          <w:rFonts w:asciiTheme="majorBidi" w:hAnsiTheme="majorBidi" w:cs="Times New Roman"/>
          <w:sz w:val="24"/>
          <w:szCs w:val="24"/>
        </w:rPr>
      </w:pPr>
    </w:p>
    <w:p w14:paraId="713BAEA8" w14:textId="77777777" w:rsidR="00754C61" w:rsidRDefault="00754C61" w:rsidP="00754C61">
      <w:pPr>
        <w:pStyle w:val="ListParagraph"/>
        <w:numPr>
          <w:ilvl w:val="0"/>
          <w:numId w:val="3"/>
        </w:numPr>
        <w:spacing w:line="240" w:lineRule="auto"/>
        <w:ind w:left="426"/>
        <w:jc w:val="both"/>
        <w:rPr>
          <w:rFonts w:asciiTheme="majorBidi" w:hAnsiTheme="majorBidi" w:cs="Times New Roman"/>
          <w:sz w:val="24"/>
          <w:szCs w:val="24"/>
        </w:rPr>
      </w:pPr>
      <w:r w:rsidRPr="00317BAD">
        <w:rPr>
          <w:rFonts w:asciiTheme="majorBidi" w:hAnsiTheme="majorBidi" w:cs="Times New Roman"/>
          <w:b/>
          <w:bCs/>
          <w:sz w:val="24"/>
          <w:szCs w:val="24"/>
        </w:rPr>
        <w:t>Faktor Penyebab dan Sumber Kemunculan Radikalisme</w:t>
      </w:r>
      <w:r>
        <w:rPr>
          <w:rStyle w:val="FootnoteReference"/>
          <w:rFonts w:asciiTheme="majorBidi" w:hAnsiTheme="majorBidi"/>
          <w:sz w:val="24"/>
          <w:szCs w:val="24"/>
        </w:rPr>
        <w:footnoteReference w:id="22"/>
      </w:r>
    </w:p>
    <w:p w14:paraId="19A85AEB" w14:textId="77777777" w:rsidR="00754C61" w:rsidRDefault="00754C61" w:rsidP="00754C61">
      <w:pPr>
        <w:spacing w:line="480" w:lineRule="auto"/>
        <w:ind w:firstLine="567"/>
        <w:jc w:val="both"/>
        <w:rPr>
          <w:rFonts w:asciiTheme="majorBidi" w:hAnsiTheme="majorBidi" w:cs="Times New Roman"/>
          <w:sz w:val="24"/>
          <w:szCs w:val="24"/>
        </w:rPr>
      </w:pPr>
      <w:r>
        <w:rPr>
          <w:rFonts w:asciiTheme="majorBidi" w:hAnsiTheme="majorBidi" w:cs="Times New Roman"/>
          <w:sz w:val="24"/>
          <w:szCs w:val="24"/>
        </w:rPr>
        <w:t xml:space="preserve">Awal munculnya paham radikalisme dikalangan masyarakat tentunya karena beberapa faktor yang mempengaruhinya, diantaranya </w:t>
      </w:r>
      <w:proofErr w:type="gramStart"/>
      <w:r>
        <w:rPr>
          <w:rFonts w:asciiTheme="majorBidi" w:hAnsiTheme="majorBidi" w:cs="Times New Roman"/>
          <w:sz w:val="24"/>
          <w:szCs w:val="24"/>
        </w:rPr>
        <w:t>adalah :</w:t>
      </w:r>
      <w:proofErr w:type="gramEnd"/>
    </w:p>
    <w:p w14:paraId="6AB4B4D2" w14:textId="77777777" w:rsidR="00754C61" w:rsidRPr="00525C7C" w:rsidRDefault="00754C61" w:rsidP="00754C61">
      <w:pPr>
        <w:pStyle w:val="ListParagraph"/>
        <w:numPr>
          <w:ilvl w:val="0"/>
          <w:numId w:val="5"/>
        </w:numPr>
        <w:spacing w:line="480" w:lineRule="auto"/>
        <w:ind w:left="567"/>
        <w:jc w:val="both"/>
        <w:rPr>
          <w:rFonts w:asciiTheme="majorBidi" w:hAnsiTheme="majorBidi" w:cs="Times New Roman"/>
          <w:sz w:val="24"/>
          <w:szCs w:val="24"/>
        </w:rPr>
      </w:pPr>
      <w:r w:rsidRPr="00525C7C">
        <w:rPr>
          <w:rFonts w:asciiTheme="majorBidi" w:hAnsiTheme="majorBidi" w:cs="Times New Roman"/>
          <w:sz w:val="24"/>
          <w:szCs w:val="24"/>
        </w:rPr>
        <w:t>Faktor politik, kelompok radikalisme beranggapan bahwa agama islam harus menjadikan Indonesia sebagai negara muslim, karena menurut mereka dasar ideologi Indonesia tidak akan bisa memenuhi aspirasi dan harapan masyarakat Indonesia yang sebagian besar adalah umat muslim. Maka dari itu, mereka beranggapan Indonesia sebaiknya secara formal menjadi sebuah negara yang berlandaskan pada ideologi Islam, bukan Pancasila.</w:t>
      </w:r>
    </w:p>
    <w:p w14:paraId="3189D91F" w14:textId="77777777" w:rsidR="00754C61" w:rsidRPr="00525C7C" w:rsidRDefault="00754C61" w:rsidP="00754C61">
      <w:pPr>
        <w:pStyle w:val="ListParagraph"/>
        <w:numPr>
          <w:ilvl w:val="0"/>
          <w:numId w:val="5"/>
        </w:numPr>
        <w:spacing w:line="480" w:lineRule="auto"/>
        <w:ind w:left="567"/>
        <w:jc w:val="both"/>
        <w:rPr>
          <w:rFonts w:asciiTheme="majorBidi" w:hAnsiTheme="majorBidi" w:cs="Times New Roman"/>
          <w:sz w:val="24"/>
          <w:szCs w:val="24"/>
        </w:rPr>
      </w:pPr>
      <w:r w:rsidRPr="00525C7C">
        <w:rPr>
          <w:rFonts w:asciiTheme="majorBidi" w:hAnsiTheme="majorBidi" w:cs="Times New Roman"/>
          <w:sz w:val="24"/>
          <w:szCs w:val="24"/>
        </w:rPr>
        <w:t xml:space="preserve">Faktor </w:t>
      </w:r>
      <w:proofErr w:type="gramStart"/>
      <w:r w:rsidRPr="00525C7C">
        <w:rPr>
          <w:rFonts w:asciiTheme="majorBidi" w:hAnsiTheme="majorBidi" w:cs="Times New Roman"/>
          <w:sz w:val="24"/>
          <w:szCs w:val="24"/>
        </w:rPr>
        <w:t>ekonomi,selain</w:t>
      </w:r>
      <w:proofErr w:type="gramEnd"/>
      <w:r w:rsidRPr="00525C7C">
        <w:rPr>
          <w:rFonts w:asciiTheme="majorBidi" w:hAnsiTheme="majorBidi" w:cs="Times New Roman"/>
          <w:sz w:val="24"/>
          <w:szCs w:val="24"/>
        </w:rPr>
        <w:t xml:space="preserve"> factor politik yang memperngaruhi kemunculan radikalisme, factor ekonomi juga menjadi pemicu munculnya radikalisme di Indonesia. Kelompok radikal menganggap bahwa umat muslim sangat terbelakang dan tertinggal dalam hal pengetahuan, teknologi, ekonomi, kesejahteraan rakyat disbanding dengan Kawasan lain yang menganut agama besar selain Islam. Kemudian mereka menganggap bahwa akibat dari negara kita yang masih menganut kepada negara yang notabene non-Islam dalam hal </w:t>
      </w:r>
      <w:r w:rsidRPr="00525C7C">
        <w:rPr>
          <w:rFonts w:asciiTheme="majorBidi" w:hAnsiTheme="majorBidi" w:cs="Times New Roman"/>
          <w:sz w:val="24"/>
          <w:szCs w:val="24"/>
        </w:rPr>
        <w:lastRenderedPageBreak/>
        <w:t>ilmu pengetahuan dan teknologi negara Islam menjadi ketergantungan secara ekonomi kepada negara donor.</w:t>
      </w:r>
    </w:p>
    <w:p w14:paraId="105B4545" w14:textId="77777777" w:rsidR="00754C61" w:rsidRPr="00525C7C" w:rsidRDefault="00754C61" w:rsidP="00754C61">
      <w:pPr>
        <w:pStyle w:val="ListParagraph"/>
        <w:numPr>
          <w:ilvl w:val="0"/>
          <w:numId w:val="5"/>
        </w:numPr>
        <w:spacing w:line="480" w:lineRule="auto"/>
        <w:ind w:left="567"/>
        <w:jc w:val="both"/>
        <w:rPr>
          <w:rFonts w:asciiTheme="majorBidi" w:hAnsiTheme="majorBidi" w:cs="Times New Roman"/>
          <w:sz w:val="24"/>
          <w:szCs w:val="24"/>
        </w:rPr>
      </w:pPr>
      <w:r w:rsidRPr="00525C7C">
        <w:rPr>
          <w:rFonts w:asciiTheme="majorBidi" w:hAnsiTheme="majorBidi" w:cs="Times New Roman"/>
          <w:sz w:val="24"/>
          <w:szCs w:val="24"/>
        </w:rPr>
        <w:t>Fa</w:t>
      </w:r>
      <w:r>
        <w:rPr>
          <w:rFonts w:asciiTheme="majorBidi" w:hAnsiTheme="majorBidi" w:cs="Times New Roman"/>
          <w:sz w:val="24"/>
          <w:szCs w:val="24"/>
        </w:rPr>
        <w:t>k</w:t>
      </w:r>
      <w:r w:rsidRPr="00525C7C">
        <w:rPr>
          <w:rFonts w:asciiTheme="majorBidi" w:hAnsiTheme="majorBidi" w:cs="Times New Roman"/>
          <w:sz w:val="24"/>
          <w:szCs w:val="24"/>
        </w:rPr>
        <w:t xml:space="preserve">tor sosial-budaya, pengadopsian sistem politik dan hegemoni ekonomi Barat di negara-negara muslim pada akhirnya akan mempengaruhi nilai-nilai budaya yang dianut oleh masyarakat muslim secara luas. Mereka takut adanya hasil industry yang diekspor ke negara Islam akan mempengaruhi nilai-nilai budaya Islam melalui produk yang ada di </w:t>
      </w:r>
      <w:proofErr w:type="gramStart"/>
      <w:r w:rsidRPr="00525C7C">
        <w:rPr>
          <w:rFonts w:asciiTheme="majorBidi" w:hAnsiTheme="majorBidi" w:cs="Times New Roman"/>
          <w:sz w:val="24"/>
          <w:szCs w:val="24"/>
        </w:rPr>
        <w:t>dalamnya .</w:t>
      </w:r>
      <w:proofErr w:type="gramEnd"/>
    </w:p>
    <w:p w14:paraId="187D14BA" w14:textId="77777777" w:rsidR="00754C61" w:rsidRPr="00525C7C" w:rsidRDefault="00754C61" w:rsidP="00754C61">
      <w:pPr>
        <w:pStyle w:val="ListParagraph"/>
        <w:numPr>
          <w:ilvl w:val="0"/>
          <w:numId w:val="5"/>
        </w:numPr>
        <w:spacing w:line="480" w:lineRule="auto"/>
        <w:ind w:left="567"/>
        <w:jc w:val="both"/>
        <w:rPr>
          <w:rFonts w:asciiTheme="majorBidi" w:hAnsiTheme="majorBidi" w:cs="Times New Roman"/>
          <w:sz w:val="24"/>
          <w:szCs w:val="24"/>
        </w:rPr>
      </w:pPr>
      <w:r w:rsidRPr="00525C7C">
        <w:rPr>
          <w:rFonts w:asciiTheme="majorBidi" w:hAnsiTheme="majorBidi" w:cs="Times New Roman"/>
          <w:sz w:val="24"/>
          <w:szCs w:val="24"/>
        </w:rPr>
        <w:t>Faktor pemahaman keagamaan (teologi), Munculnya gerakan radikal dalam komunitas agama jelas diinspirasikan atau memiliki landasan dalam ajaran agama yang dijadikan legitimasi untuk mengabsahkan tindakan-tindakan yang dilakukannya.</w:t>
      </w:r>
    </w:p>
    <w:p w14:paraId="1190E0F1" w14:textId="77777777" w:rsidR="00754C61" w:rsidRDefault="00754C61" w:rsidP="00754C61">
      <w:pPr>
        <w:pStyle w:val="ListParagraph"/>
        <w:spacing w:line="480" w:lineRule="auto"/>
        <w:ind w:left="426"/>
        <w:jc w:val="both"/>
        <w:rPr>
          <w:rFonts w:asciiTheme="majorBidi" w:hAnsiTheme="majorBidi" w:cs="Times New Roman"/>
          <w:sz w:val="24"/>
          <w:szCs w:val="24"/>
        </w:rPr>
      </w:pPr>
    </w:p>
    <w:p w14:paraId="7E1227F5" w14:textId="77777777" w:rsidR="00754C61" w:rsidRPr="004532CE" w:rsidRDefault="00754C61" w:rsidP="00754C61">
      <w:pPr>
        <w:pStyle w:val="ListParagraph"/>
        <w:spacing w:line="480" w:lineRule="auto"/>
        <w:ind w:left="0"/>
        <w:jc w:val="both"/>
        <w:rPr>
          <w:rFonts w:asciiTheme="majorBidi" w:hAnsiTheme="majorBidi" w:cs="Times New Roman"/>
          <w:sz w:val="24"/>
          <w:szCs w:val="24"/>
        </w:rPr>
      </w:pPr>
    </w:p>
    <w:p w14:paraId="1993DADE" w14:textId="77777777" w:rsidR="00754C61" w:rsidRDefault="00754C61" w:rsidP="00754C61">
      <w:pPr>
        <w:pStyle w:val="ListParagraph"/>
        <w:spacing w:line="480" w:lineRule="auto"/>
        <w:ind w:left="426"/>
        <w:jc w:val="both"/>
        <w:rPr>
          <w:rFonts w:asciiTheme="majorBidi" w:hAnsiTheme="majorBidi" w:cs="Times New Roman"/>
          <w:sz w:val="24"/>
          <w:szCs w:val="24"/>
        </w:rPr>
      </w:pPr>
    </w:p>
    <w:p w14:paraId="584029AC" w14:textId="77777777" w:rsidR="00754C61" w:rsidRDefault="00754C61" w:rsidP="00754C61">
      <w:pPr>
        <w:pStyle w:val="ListParagraph"/>
        <w:spacing w:line="480" w:lineRule="auto"/>
        <w:ind w:left="0" w:firstLine="720"/>
        <w:jc w:val="both"/>
        <w:rPr>
          <w:rFonts w:asciiTheme="majorBidi" w:hAnsiTheme="majorBidi" w:cs="Times New Roman"/>
          <w:sz w:val="24"/>
          <w:szCs w:val="24"/>
        </w:rPr>
      </w:pPr>
    </w:p>
    <w:p w14:paraId="308BA013" w14:textId="77777777" w:rsidR="00754C61" w:rsidRPr="00D5736C" w:rsidRDefault="00754C61" w:rsidP="00754C61">
      <w:pPr>
        <w:pStyle w:val="ListParagraph"/>
        <w:spacing w:line="480" w:lineRule="auto"/>
        <w:rPr>
          <w:rFonts w:asciiTheme="majorBidi" w:hAnsiTheme="majorBidi" w:cs="Times New Roman"/>
          <w:sz w:val="24"/>
          <w:szCs w:val="24"/>
        </w:rPr>
      </w:pPr>
    </w:p>
    <w:p w14:paraId="12AB2789" w14:textId="77777777" w:rsidR="00A72B30" w:rsidRDefault="00A72B30">
      <w:bookmarkStart w:id="0" w:name="_GoBack"/>
      <w:bookmarkEnd w:id="0"/>
    </w:p>
    <w:sectPr w:rsidR="00A72B30" w:rsidSect="00317BAD">
      <w:headerReference w:type="even" r:id="rId13"/>
      <w:headerReference w:type="default" r:id="rId14"/>
      <w:footerReference w:type="default" r:id="rId15"/>
      <w:headerReference w:type="first" r:id="rId16"/>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8E7644" w14:textId="77777777" w:rsidR="00DE755E" w:rsidRDefault="00DE755E" w:rsidP="00754C61">
      <w:pPr>
        <w:spacing w:after="0" w:line="240" w:lineRule="auto"/>
      </w:pPr>
      <w:r>
        <w:separator/>
      </w:r>
    </w:p>
  </w:endnote>
  <w:endnote w:type="continuationSeparator" w:id="0">
    <w:p w14:paraId="7E229513" w14:textId="77777777" w:rsidR="00DE755E" w:rsidRDefault="00DE755E" w:rsidP="00754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Arabic">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934A5" w14:textId="77777777" w:rsidR="00754C61" w:rsidRDefault="00754C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92DB4" w14:textId="77777777" w:rsidR="00754C61" w:rsidRPr="003F09CB" w:rsidRDefault="00754C61">
    <w:pPr>
      <w:pStyle w:val="Footer"/>
      <w:jc w:val="center"/>
      <w:rPr>
        <w:rFonts w:asciiTheme="majorBidi" w:hAnsiTheme="majorBidi" w:cs="Times New Roman"/>
      </w:rPr>
    </w:pPr>
    <w:r w:rsidRPr="003F09CB">
      <w:rPr>
        <w:rFonts w:asciiTheme="majorBidi" w:hAnsiTheme="majorBidi" w:cs="Times New Roman"/>
      </w:rPr>
      <w:fldChar w:fldCharType="begin"/>
    </w:r>
    <w:r w:rsidRPr="003F09CB">
      <w:rPr>
        <w:rFonts w:asciiTheme="majorBidi" w:hAnsiTheme="majorBidi" w:cs="Times New Roman"/>
      </w:rPr>
      <w:instrText xml:space="preserve"> PAGE   \* MERGEFORMAT </w:instrText>
    </w:r>
    <w:r w:rsidRPr="003F09CB">
      <w:rPr>
        <w:rFonts w:asciiTheme="majorBidi" w:hAnsiTheme="majorBidi" w:cs="Times New Roman"/>
      </w:rPr>
      <w:fldChar w:fldCharType="separate"/>
    </w:r>
    <w:r w:rsidRPr="003F09CB">
      <w:rPr>
        <w:rFonts w:asciiTheme="majorBidi" w:hAnsiTheme="majorBidi" w:cs="Times New Roman"/>
        <w:noProof/>
      </w:rPr>
      <w:t>2</w:t>
    </w:r>
    <w:r w:rsidRPr="003F09CB">
      <w:rPr>
        <w:rFonts w:asciiTheme="majorBidi" w:hAnsiTheme="majorBidi" w:cs="Times New Roman"/>
      </w:rPr>
      <w:fldChar w:fldCharType="end"/>
    </w:r>
  </w:p>
  <w:p w14:paraId="60AB2A6E" w14:textId="77777777" w:rsidR="00754C61" w:rsidRDefault="00754C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43E7C" w14:textId="77777777" w:rsidR="00754C61" w:rsidRDefault="00754C6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2F5DF" w14:textId="77777777" w:rsidR="003F09CB" w:rsidRDefault="00DE7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D24D6E" w14:textId="77777777" w:rsidR="00DE755E" w:rsidRDefault="00DE755E" w:rsidP="00754C61">
      <w:pPr>
        <w:spacing w:after="0" w:line="240" w:lineRule="auto"/>
      </w:pPr>
      <w:r>
        <w:separator/>
      </w:r>
    </w:p>
  </w:footnote>
  <w:footnote w:type="continuationSeparator" w:id="0">
    <w:p w14:paraId="0BE75A75" w14:textId="77777777" w:rsidR="00DE755E" w:rsidRDefault="00DE755E" w:rsidP="00754C61">
      <w:pPr>
        <w:spacing w:after="0" w:line="240" w:lineRule="auto"/>
      </w:pPr>
      <w:r>
        <w:continuationSeparator/>
      </w:r>
    </w:p>
  </w:footnote>
  <w:footnote w:id="1">
    <w:p w14:paraId="7788C4A7" w14:textId="77777777" w:rsidR="00754C61" w:rsidRDefault="00754C61" w:rsidP="00754C61">
      <w:pPr>
        <w:pStyle w:val="FootnoteText"/>
        <w:ind w:firstLine="720"/>
        <w:jc w:val="both"/>
      </w:pPr>
      <w:r w:rsidRPr="00024E2D">
        <w:rPr>
          <w:rStyle w:val="FootnoteReference"/>
          <w:rFonts w:asciiTheme="majorBidi" w:hAnsiTheme="majorBidi"/>
        </w:rPr>
        <w:footnoteRef/>
      </w:r>
      <w:r w:rsidRPr="00024E2D">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{"citationID":"ge0s5Hxo","properties":{"formattedCitation":"Tim Aswaja NU Center PWNU Jawa Timur, {\\i{}khazanah aswaja} (Jawa Timur: Aswaja NU Center PWNU Jawa Timur, 2016), hal. 10-15.","plainCitation":"Tim Aswaja NU Center PWNU Jawa Timur, khazanah aswaja (Jawa Timur: Aswaja NU Center PWNU Jawa Timur, 2016), hal. 10-15.","noteIndex":1},"citationItems":[{"id":50,"uris":["http://zotero.org/users/local/7ME6pr6f/items/IEQUB5NG"],"uri":["http://zotero.org/users/local/7ME6pr6f/items/IEQUB5NG"],"itemData":{"id":50,"type":"book","event-place":"Jawa Timur","ISBN":"978-602-74756-0-1","number-of-pages":"374","publisher":"Aswaja NU Center PWNU Jawa Timur","publisher-place":"Jawa Timur","title":"khazanah aswaja","author":[{"family":"Tim Aswaja NU Center PWNU Jawa Timur","given":""}],"issued":{"date-parts":[["2016"]]}},"locator":"hal. 10-15","label":"page"}],"schema":"https://github.com/citation-style-language/schema/raw/master/csl-citation.json"} </w:instrText>
      </w:r>
      <w:r>
        <w:rPr>
          <w:rFonts w:asciiTheme="majorBidi" w:hAnsiTheme="majorBidi" w:cs="Times New Roman"/>
        </w:rPr>
        <w:fldChar w:fldCharType="separate"/>
      </w:r>
      <w:r w:rsidRPr="007D5A62">
        <w:rPr>
          <w:rFonts w:ascii="Times New Roman" w:hAnsi="Times New Roman" w:cs="Times New Roman"/>
          <w:szCs w:val="24"/>
        </w:rPr>
        <w:t xml:space="preserve">Tim Aswaja NU Center PWNU Jawa Timur, </w:t>
      </w:r>
      <w:r w:rsidRPr="007D5A62">
        <w:rPr>
          <w:rFonts w:ascii="Times New Roman" w:hAnsi="Times New Roman" w:cs="Times New Roman"/>
          <w:i/>
          <w:iCs/>
          <w:szCs w:val="24"/>
        </w:rPr>
        <w:t>khazanah aswaja</w:t>
      </w:r>
      <w:r w:rsidRPr="007D5A62">
        <w:rPr>
          <w:rFonts w:ascii="Times New Roman" w:hAnsi="Times New Roman" w:cs="Times New Roman"/>
          <w:szCs w:val="24"/>
        </w:rPr>
        <w:t xml:space="preserve"> (Jawa Timur: Aswaja NU Center PWNU Jawa Timur, 2016), hal. 10-15.</w:t>
      </w:r>
      <w:r>
        <w:rPr>
          <w:rFonts w:asciiTheme="majorBidi" w:hAnsiTheme="majorBidi" w:cs="Times New Roman"/>
        </w:rPr>
        <w:fldChar w:fldCharType="end"/>
      </w:r>
    </w:p>
  </w:footnote>
  <w:footnote w:id="2">
    <w:p w14:paraId="54ED2D02" w14:textId="77777777" w:rsidR="00754C61" w:rsidRDefault="00754C61" w:rsidP="00754C61">
      <w:pPr>
        <w:pStyle w:val="FootnoteText"/>
        <w:ind w:firstLine="720"/>
        <w:jc w:val="both"/>
      </w:pPr>
      <w:r w:rsidRPr="00811201">
        <w:rPr>
          <w:rStyle w:val="FootnoteReference"/>
          <w:rFonts w:asciiTheme="majorBidi" w:hAnsiTheme="majorBidi"/>
        </w:rPr>
        <w:footnoteRef/>
      </w:r>
      <w:r w:rsidRPr="00811201">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{"citationID":"FsBhXCOP","properties":{"custom":"Muhammad Imdad Rabbani, \\uc0\\u8220{}Tauhid Ahlussunnah Wal Jama\\uc0\\u8217{}ah; Antara Imamal-Asyari Dan Ibn Taymiyyah,\\uc0\\u8221{} {\\i{}Tafsiyah: Jurnal Pemikiran Islam,} Vol. 3, No. 3, (2019), hal. 4.","formattedCitation":"Muhammad Imdad Rabbani, \\uc0\\u8220{}Tauhid Ahlussunnah Wal Jama\\uc0\\u8217{}ah; Antara Imamal-Asyari Dan Ibn Taymiyyah,\\uc0\\u8221{} {\\i{}Tafsiyah: Jurnal Pemikiran Islam,} Vol. 3, No. 3, (2019), hal. 4.","plainCitation":"Muhammad Imdad Rabbani, “Tauhid Ahlussunnah Wal Jama’ah; Antara Imamal-Asyari Dan Ibn Taymiyyah,” Tafsiyah: Jurnal Pemikiran Islam, Vol. 3, No. 3, (2019), hal. 4.","noteIndex":2},"citationItems":[{"id":64,"uris":["http://zotero.org/users/local/7ME6pr6f/items/N2DAHMY6"],"uri":["http://zotero.org/users/local/7ME6pr6f/items/N2DAHMY6"],"itemData":{"id":64,"type":"article-journal","container-title":"Tafsiyah: Jurnal Pemikiran Islam","issue":"3","page":"1-20","title":"Tauhid Ahlussunnah wal Jama'ah; Antara Imamal-Asyari dan Ibn Taymiyyah","volume":"Vol. 3","author":[{"family":"Rabbani","given":"Muhammad Imdad"}],"issued":{"date-parts":[["2019"]]}},"locator":"hal. 4","label":"page"}],"schema":"https://github.com/citation-style-language/schema/raw/master/csl-citation.json"} </w:instrText>
      </w:r>
      <w:r>
        <w:rPr>
          <w:rFonts w:asciiTheme="majorBidi" w:hAnsiTheme="majorBidi" w:cs="Times New Roman"/>
        </w:rPr>
        <w:fldChar w:fldCharType="separate"/>
      </w:r>
      <w:r w:rsidRPr="00811201">
        <w:rPr>
          <w:rFonts w:asciiTheme="majorBidi" w:hAnsiTheme="majorBidi" w:cs="Times New Roman"/>
          <w:szCs w:val="24"/>
        </w:rPr>
        <w:t xml:space="preserve">Muhammad Imdad Rabbani, “Tauhid Ahlussunnah Wal Jama’ah; Antara Imamal-Asyari Dan Ibn Taymiyyah,” </w:t>
      </w:r>
      <w:r w:rsidRPr="00811201">
        <w:rPr>
          <w:rFonts w:asciiTheme="majorBidi" w:hAnsiTheme="majorBidi" w:cs="Times New Roman"/>
          <w:i/>
          <w:iCs/>
          <w:szCs w:val="24"/>
        </w:rPr>
        <w:t>Tafsiyah: Jurnal Pemikiran Islam,</w:t>
      </w:r>
      <w:r w:rsidRPr="00811201">
        <w:rPr>
          <w:rFonts w:asciiTheme="majorBidi" w:hAnsiTheme="majorBidi" w:cs="Times New Roman"/>
          <w:szCs w:val="24"/>
        </w:rPr>
        <w:t xml:space="preserve"> Vol. 3, No. 3, (2019), hal. 4.</w:t>
      </w:r>
      <w:r>
        <w:rPr>
          <w:rFonts w:asciiTheme="majorBidi" w:hAnsiTheme="majorBidi" w:cs="Times New Roman"/>
        </w:rPr>
        <w:fldChar w:fldCharType="end"/>
      </w:r>
    </w:p>
  </w:footnote>
  <w:footnote w:id="3">
    <w:p w14:paraId="29E486C3" w14:textId="77777777" w:rsidR="00754C61" w:rsidRDefault="00754C61" w:rsidP="00754C61">
      <w:pPr>
        <w:pStyle w:val="FootnoteText"/>
        <w:ind w:firstLine="720"/>
        <w:jc w:val="both"/>
      </w:pPr>
      <w:r w:rsidRPr="00385F3C">
        <w:rPr>
          <w:rStyle w:val="FootnoteReference"/>
          <w:rFonts w:asciiTheme="majorBidi" w:hAnsiTheme="majorBidi"/>
        </w:rPr>
        <w:footnoteRef/>
      </w:r>
      <w:r w:rsidRPr="00385F3C">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{"citationID":"qNCCqDGe","properties":{"custom":"Tim Aswaja NU Center PWNU Jawa Timur, {\\i{}Khazanah Aswaja,} (Jawa Timur: Aswaja NU Center PWNU Jawa Timur, 2016), hal. 43-44.","formattedCitation":"Tim Aswaja NU Center PWNU Jawa Timur, {\\i{}Khazanah Aswaja,} (Jawa Timur: Aswaja NU Center PWNU Jawa Timur, 2016), hal. 43-44.","plainCitation":"Tim Aswaja NU Center PWNU Jawa Timur, Khazanah Aswaja, (Jawa Timur: Aswaja NU Center PWNU Jawa Timur, 2016), hal. 43-44.","noteIndex":3},"citationItems":[{"id":50,"uris":["http://zotero.org/users/local/7ME6pr6f/items/IEQUB5NG"],"uri":["http://zotero.org/users/local/7ME6pr6f/items/IEQUB5NG"],"itemData":{"id":50,"type":"book","event-place":"Jawa Timur","ISBN":"978-602-74756-0-1","number-of-pages":"374","publisher":"Aswaja NU Center PWNU Jawa Timur","publisher-place":"Jawa Timur","title":"khazanah aswaja","author":[{"family":"Tim Aswaja NU Center PWNU Jawa Timur","given":""}],"issued":{"date-parts":[["2016"]]}},"locator":"hal. 43-44","label":"page"}],"schema":"https://github.com/citation-style-language/schema/raw/master/csl-citation.json"} </w:instrText>
      </w:r>
      <w:r>
        <w:rPr>
          <w:rFonts w:asciiTheme="majorBidi" w:hAnsiTheme="majorBidi" w:cs="Times New Roman"/>
        </w:rPr>
        <w:fldChar w:fldCharType="separate"/>
      </w:r>
      <w:r w:rsidRPr="00385F3C">
        <w:rPr>
          <w:rFonts w:asciiTheme="majorBidi" w:hAnsiTheme="majorBidi" w:cs="Times New Roman"/>
          <w:szCs w:val="24"/>
        </w:rPr>
        <w:t xml:space="preserve">Tim Aswaja NU Center PWNU Jawa Timur, </w:t>
      </w:r>
      <w:r w:rsidRPr="00385F3C">
        <w:rPr>
          <w:rFonts w:asciiTheme="majorBidi" w:hAnsiTheme="majorBidi" w:cs="Times New Roman"/>
          <w:i/>
          <w:iCs/>
          <w:szCs w:val="24"/>
        </w:rPr>
        <w:t>Khazanah Aswaja,</w:t>
      </w:r>
      <w:r w:rsidRPr="00385F3C">
        <w:rPr>
          <w:rFonts w:asciiTheme="majorBidi" w:hAnsiTheme="majorBidi" w:cs="Times New Roman"/>
          <w:szCs w:val="24"/>
        </w:rPr>
        <w:t xml:space="preserve"> (Jawa Timur: Aswaja NU Center PWNU Jawa Timur, 2016), hal. 43-44.</w:t>
      </w:r>
      <w:r>
        <w:rPr>
          <w:rFonts w:asciiTheme="majorBidi" w:hAnsiTheme="majorBidi" w:cs="Times New Roman"/>
        </w:rPr>
        <w:fldChar w:fldCharType="end"/>
      </w:r>
    </w:p>
  </w:footnote>
  <w:footnote w:id="4">
    <w:p w14:paraId="3F12A2EF" w14:textId="77777777" w:rsidR="00754C61" w:rsidRDefault="00754C61" w:rsidP="00754C61">
      <w:pPr>
        <w:pStyle w:val="FootnoteText"/>
        <w:ind w:firstLine="720"/>
        <w:jc w:val="both"/>
      </w:pPr>
      <w:r w:rsidRPr="00793B8D">
        <w:rPr>
          <w:rStyle w:val="FootnoteReference"/>
          <w:rFonts w:asciiTheme="majorBidi" w:hAnsiTheme="majorBidi"/>
        </w:rPr>
        <w:footnoteRef/>
      </w:r>
      <w:r w:rsidRPr="00793B8D">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{"citationID":"BZgLR8s8","properties":{"custom":"Miftahul Ulum and Abd Wahid HS, \\uc0\\u8220{}Fikih Organisasi (Reaktualisasi Sejarah Nahdhatul Ulama (NU) Di Indonesia),\\uc0\\u8221{} {\\i{}Jurnal Al-Insyiroh: Jurnal Studi Keislaman,} Vol. 5, No. 2, (2019), hal. 54.","formattedCitation":"Miftahul Ulum and Abd Wahid HS, \\uc0\\u8220{}Fikih Organisasi (Reaktualisasi Sejarah Nahdhatul Ulama (NU) Di Indonesia),\\uc0\\u8221{} {\\i{}Jurnal Al-Insyiroh: Jurnal Studi Keislaman,} Vol. 5, No. 2, (2019), hal. 54.","plainCitation":"Miftahul Ulum and Abd Wahid HS, “Fikih Organisasi (Reaktualisasi Sejarah Nahdhatul Ulama (NU) Di Indonesia),” Jurnal Al-Insyiroh: Jurnal Studi Keislaman, Vol. 5, No. 2, (2019), hal. 54.","noteIndex":4},"citationItems":[{"id":68,"uris":["http://zotero.org/users/local/7ME6pr6f/items/HQHR2ZJT"],"uri":["http://zotero.org/users/local/7ME6pr6f/items/HQHR2ZJT"],"itemData":{"id":68,"type":"article-journal","container-title":"Jurnal Al-Insyiroh: Jurnal Studi Keislaman","issue":"2","page":"54-75","title":"Fikih Organisasi (Reaktualisasi Sejarah Nahdhatul Ulama (NU) di Indonesia)","volume":"Vol. 5","author":[{"family":"Ulum","given":"Miftahul"},{"family":"Wahid HS","given":"Abd"}],"issued":{"date-parts":[["2019"]]}},"locator":"hal. 54","label":"page"}],"schema":"https://github.com/citation-style-language/schema/raw/master/csl-citation.json"} </w:instrText>
      </w:r>
      <w:r>
        <w:rPr>
          <w:rFonts w:asciiTheme="majorBidi" w:hAnsiTheme="majorBidi" w:cs="Times New Roman"/>
        </w:rPr>
        <w:fldChar w:fldCharType="separate"/>
      </w:r>
      <w:r w:rsidRPr="00793B8D">
        <w:rPr>
          <w:rFonts w:asciiTheme="majorBidi" w:hAnsiTheme="majorBidi" w:cs="Times New Roman"/>
          <w:szCs w:val="24"/>
        </w:rPr>
        <w:t xml:space="preserve">Miftahul Ulum and Abd Wahid HS, “Fikih Organisasi (Reaktualisasi Sejarah Nahdhatul Ulama (NU) Di Indonesia),” </w:t>
      </w:r>
      <w:r w:rsidRPr="00793B8D">
        <w:rPr>
          <w:rFonts w:asciiTheme="majorBidi" w:hAnsiTheme="majorBidi" w:cs="Times New Roman"/>
          <w:i/>
          <w:iCs/>
          <w:szCs w:val="24"/>
        </w:rPr>
        <w:t>Jurnal Al-Insyiroh: Jurnal Studi Keislaman,</w:t>
      </w:r>
      <w:r w:rsidRPr="00793B8D">
        <w:rPr>
          <w:rFonts w:asciiTheme="majorBidi" w:hAnsiTheme="majorBidi" w:cs="Times New Roman"/>
          <w:szCs w:val="24"/>
        </w:rPr>
        <w:t xml:space="preserve"> Vol. 5, No. 2, (2019), hal. 54.</w:t>
      </w:r>
      <w:r>
        <w:rPr>
          <w:rFonts w:asciiTheme="majorBidi" w:hAnsiTheme="majorBidi" w:cs="Times New Roman"/>
        </w:rPr>
        <w:fldChar w:fldCharType="end"/>
      </w:r>
    </w:p>
  </w:footnote>
  <w:footnote w:id="5">
    <w:p w14:paraId="4901783A" w14:textId="77777777" w:rsidR="00754C61" w:rsidRDefault="00754C61" w:rsidP="00754C61">
      <w:pPr>
        <w:pStyle w:val="FootnoteText"/>
        <w:ind w:firstLine="720"/>
        <w:jc w:val="both"/>
      </w:pPr>
      <w:r w:rsidRPr="00982C2F">
        <w:rPr>
          <w:rStyle w:val="FootnoteReference"/>
          <w:rFonts w:asciiTheme="majorBidi" w:hAnsiTheme="majorBidi"/>
        </w:rPr>
        <w:footnoteRef/>
      </w:r>
      <w:r w:rsidRPr="00982C2F">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{"citationID":"TqHvSpNl","properties":{"custom":"A. Jauhar Fuad, \\uc0\\u8220{}Akar Sejarah Moderasi Islam Pada Nahdhatul Ulama,\\uc0\\u8221{} {\\i{}Tribakti: Jurnal Pemikiran Islam,} Vol. 31, No. 1, (2020), hal.157.","formattedCitation":"A. Jauhar Fuad, \\uc0\\u8220{}Akar Sejarah Moderasi Islam Pada Nahdhatul Ulama,\\uc0\\u8221{} {\\i{}Tribakti: Jurnal Pemikiran Islam,} Vol. 31, No. 1, (2020), hal.157.","plainCitation":"A. Jauhar Fuad, “Akar Sejarah Moderasi Islam Pada Nahdhatul Ulama,” Tribakti: Jurnal Pemikiran Islam, Vol. 31, No. 1, (2020), hal.157.","noteIndex":5},"citationItems":[{"id":69,"uris":["http://zotero.org/users/local/7ME6pr6f/items/ATQCKQ3I"],"uri":["http://zotero.org/users/local/7ME6pr6f/items/ATQCKQ3I"],"itemData":{"id":69,"type":"article-journal","container-title":"Tribakti: Jurnal Pemikiran Islam","issue":"1","page":"153-168","title":"Akar Sejarah Moderasi Islam Pada Nahdhatul Ulama","volume":"Vol. 31","author":[{"family":"Fuad","given":"A. Jauhar"}],"issued":{"date-parts":[["2020"]]}},"locator":"hal.157","label":"page"}],"schema":"https://github.com/citation-style-language/schema/raw/master/csl-citation.json"} </w:instrText>
      </w:r>
      <w:r>
        <w:rPr>
          <w:rFonts w:asciiTheme="majorBidi" w:hAnsiTheme="majorBidi" w:cs="Times New Roman"/>
        </w:rPr>
        <w:fldChar w:fldCharType="separate"/>
      </w:r>
      <w:r w:rsidRPr="00982C2F">
        <w:rPr>
          <w:rFonts w:asciiTheme="majorBidi" w:hAnsiTheme="majorBidi" w:cs="Times New Roman"/>
          <w:szCs w:val="24"/>
        </w:rPr>
        <w:t xml:space="preserve">A. Jauhar Fuad, “Akar Sejarah Moderasi Islam Pada Nahdhatul Ulama,” </w:t>
      </w:r>
      <w:r w:rsidRPr="00982C2F">
        <w:rPr>
          <w:rFonts w:asciiTheme="majorBidi" w:hAnsiTheme="majorBidi" w:cs="Times New Roman"/>
          <w:i/>
          <w:iCs/>
          <w:szCs w:val="24"/>
        </w:rPr>
        <w:t>Tribakti: Jurnal Pemikiran Islam,</w:t>
      </w:r>
      <w:r w:rsidRPr="00982C2F">
        <w:rPr>
          <w:rFonts w:asciiTheme="majorBidi" w:hAnsiTheme="majorBidi" w:cs="Times New Roman"/>
          <w:szCs w:val="24"/>
        </w:rPr>
        <w:t xml:space="preserve"> Vol. 31, No. 1, (2020), hal.157.</w:t>
      </w:r>
      <w:r>
        <w:rPr>
          <w:rFonts w:asciiTheme="majorBidi" w:hAnsiTheme="majorBidi" w:cs="Times New Roman"/>
        </w:rPr>
        <w:fldChar w:fldCharType="end"/>
      </w:r>
    </w:p>
  </w:footnote>
  <w:footnote w:id="6">
    <w:p w14:paraId="586E14E6" w14:textId="77777777" w:rsidR="00754C61" w:rsidRDefault="00754C61" w:rsidP="00754C61">
      <w:pPr>
        <w:pStyle w:val="FootnoteText"/>
        <w:ind w:firstLine="720"/>
      </w:pPr>
      <w:r w:rsidRPr="00795946">
        <w:rPr>
          <w:rStyle w:val="FootnoteReference"/>
          <w:rFonts w:asciiTheme="majorBidi" w:hAnsiTheme="majorBidi"/>
        </w:rPr>
        <w:footnoteRef/>
      </w:r>
      <w:r w:rsidRPr="00795946">
        <w:rPr>
          <w:rFonts w:asciiTheme="majorBidi" w:hAnsiTheme="majorBidi" w:cs="Times New Roman"/>
        </w:rPr>
        <w:t xml:space="preserve"> Asyari, Nalar Politik NU-Muhamadiyah; </w:t>
      </w:r>
      <w:r w:rsidRPr="00795946">
        <w:rPr>
          <w:rFonts w:asciiTheme="majorBidi" w:hAnsiTheme="majorBidi" w:cs="Times New Roman"/>
          <w:i/>
          <w:iCs/>
        </w:rPr>
        <w:t>Overcrossing Java Sentris.</w:t>
      </w:r>
    </w:p>
  </w:footnote>
  <w:footnote w:id="7">
    <w:p w14:paraId="12248E81" w14:textId="77777777" w:rsidR="00754C61" w:rsidRDefault="00754C61" w:rsidP="00754C61">
      <w:pPr>
        <w:pStyle w:val="FootnoteText"/>
        <w:ind w:firstLine="720"/>
        <w:jc w:val="both"/>
      </w:pPr>
      <w:r w:rsidRPr="00703D36">
        <w:rPr>
          <w:rStyle w:val="FootnoteReference"/>
          <w:rFonts w:asciiTheme="majorBidi" w:hAnsiTheme="majorBidi"/>
        </w:rPr>
        <w:footnoteRef/>
      </w:r>
      <w:r w:rsidRPr="00703D36">
        <w:rPr>
          <w:rFonts w:asciiTheme="majorBidi" w:hAnsiTheme="majorBidi" w:cs="Times New Roman"/>
        </w:rPr>
        <w:t xml:space="preserve"> </w:t>
      </w:r>
      <w:r>
        <w:rPr>
          <w:rFonts w:asciiTheme="majorBidi" w:hAnsiTheme="majorBidi" w:cs="Times New Roman"/>
        </w:rPr>
        <w:fldChar w:fldCharType="begin"/>
      </w:r>
      <w:r>
        <w:rPr>
          <w:rFonts w:asciiTheme="majorBidi" w:hAnsiTheme="majorBidi" w:cs="Times New Roman"/>
        </w:rPr>
        <w:instrText xml:space="preserve"> ADDIN ZOTERO_ITEM CSL_CITATION {"citationID":"HKBGo5je","properties":{"custom":"Muhammad Mustaqim, \\uc0\\u8220{}Politik Kebangsaan Kaum Santri: Studi Atas Kiprah Politik Nahdhatul Ulama,\\uc0\\u8221{} {\\i{}ADDIN} ,Vol. 9, No. 2, (2015),\nhal. 334.","formattedCitation":"Muhammad Mustaqim, \\uc0\\u8220{}Politik Kebangsaan Kaum Santri: Studi Atas Kiprah Politik Nahdhatul Ulama,\\uc0\\u8221{} {\\i{}ADDIN} ,Vol. 9, No. 2, (2015),\nhal. 334.","plainCitation":"Muhammad Mustaqim, “Politik Kebangsaan Kaum Santri: Studi Atas Kiprah Politik Nahdhatul Ulama,” ADDIN ,Vol. 9, No. 2, (2015),hal. 334.","noteIndex":7},"citationItems":[{"id":70,"uris":["http://zotero.org/users/local/7ME6pr6f/items/VWIGG79R"],"uri":["http://zotero.org/users/local/7ME6pr6f/items/VWIGG79R"],"itemData":{"id":70,"type":"article-journal","container-title":"ADDIN","issue":"2","page":"333-348","title":"Politik Kebangsaan Kaum Santri: Studi Atas Kiprah Politik Nahdhatul Ulama","volume":"Vol. 9","author":[{"family":"Mustaqim","given":"Muhammad"}],"issued":{"date-parts":[["2015"]]}},"locator":"hal. 334","label":"page"}],"schema":"https://github.com/citation-style-language/schema/raw/master/csl-citation.json"} </w:instrText>
      </w:r>
      <w:r>
        <w:rPr>
          <w:rFonts w:asciiTheme="majorBidi" w:hAnsiTheme="majorBidi" w:cs="Times New Roman"/>
        </w:rPr>
        <w:fldChar w:fldCharType="separate"/>
      </w:r>
      <w:r w:rsidRPr="00703D36">
        <w:rPr>
          <w:rFonts w:asciiTheme="majorBidi" w:hAnsiTheme="majorBidi" w:cs="Times New Roman"/>
          <w:szCs w:val="24"/>
        </w:rPr>
        <w:t xml:space="preserve">Muhammad Mustaqim, “Politik Kebangsaan Kaum Santri: Studi Atas Kiprah Politik Nahdhatul Ulama,” </w:t>
      </w:r>
      <w:proofErr w:type="gramStart"/>
      <w:r w:rsidRPr="00703D36">
        <w:rPr>
          <w:rFonts w:asciiTheme="majorBidi" w:hAnsiTheme="majorBidi" w:cs="Times New Roman"/>
          <w:i/>
          <w:iCs/>
          <w:szCs w:val="24"/>
        </w:rPr>
        <w:t>ADDIN</w:t>
      </w:r>
      <w:r w:rsidRPr="00703D36">
        <w:rPr>
          <w:rFonts w:asciiTheme="majorBidi" w:hAnsiTheme="majorBidi" w:cs="Times New Roman"/>
          <w:szCs w:val="24"/>
        </w:rPr>
        <w:t xml:space="preserve"> ,</w:t>
      </w:r>
      <w:proofErr w:type="gramEnd"/>
      <w:r w:rsidRPr="00703D36">
        <w:rPr>
          <w:rFonts w:asciiTheme="majorBidi" w:hAnsiTheme="majorBidi" w:cs="Times New Roman"/>
          <w:szCs w:val="24"/>
        </w:rPr>
        <w:t>Vol. 9, No. 2, (2015),hal. 334.</w:t>
      </w:r>
      <w:r>
        <w:rPr>
          <w:rFonts w:asciiTheme="majorBidi" w:hAnsiTheme="majorBidi" w:cs="Times New Roman"/>
        </w:rPr>
        <w:fldChar w:fldCharType="end"/>
      </w:r>
    </w:p>
  </w:footnote>
  <w:footnote w:id="8">
    <w:p w14:paraId="1F7BA143" w14:textId="77777777" w:rsidR="00754C61" w:rsidRDefault="00754C61" w:rsidP="00754C61">
      <w:pPr>
        <w:pStyle w:val="FootnoteText"/>
        <w:ind w:firstLine="720"/>
        <w:jc w:val="both"/>
      </w:pPr>
      <w:r w:rsidRPr="00C71122">
        <w:rPr>
          <w:rStyle w:val="FootnoteReference"/>
          <w:rFonts w:asciiTheme="majorBidi" w:hAnsiTheme="majorBidi"/>
        </w:rPr>
        <w:footnoteRef/>
      </w:r>
      <w:r w:rsidRPr="00C71122">
        <w:rPr>
          <w:rFonts w:asciiTheme="majorBidi" w:hAnsiTheme="majorBidi" w:cs="Times New Roman"/>
        </w:rPr>
        <w:t xml:space="preserve"> </w:t>
      </w:r>
      <w:r w:rsidRPr="00C71122">
        <w:rPr>
          <w:rFonts w:asciiTheme="majorBidi" w:hAnsiTheme="majorBidi" w:cs="Times New Roman"/>
        </w:rPr>
        <w:fldChar w:fldCharType="begin"/>
      </w:r>
      <w:r w:rsidRPr="00C71122">
        <w:rPr>
          <w:rFonts w:asciiTheme="majorBidi" w:hAnsiTheme="majorBidi" w:cs="Times New Roman"/>
        </w:rPr>
        <w:instrText xml:space="preserve"> ADDIN ZOTERO_ITEM CSL_CITATION {"citationID":"zIWaFpSd","properties":{"custom":"Ahmad Robihan, \\uc0\\u8220{}Anti Kekerasan di Sekolah Melalui Internalisasi Prinsip Aswaja Annahdliyah,\\uc0\\u8221{} {\\i{}Jurnal Al Qalam,} Vol. 19, No. 2, (2018), hal. 49.","formattedCitation":"Ahmad Robihan, \\uc0\\u8220{}Anti Kekerasan di Sekolah Melalui Internalisasi Prinsip Aswaja Annahdliyah,\\uc0\\u8221{} {\\i{}Jurnal Al Qalam,} Vol. 19, No. 2, (2018), hal. 49.","plainCitation":"Ahmad Robihan, “Anti Kekerasan di Sekolah Melalui Internalisasi Prinsip Aswaja Annahdliyah,” Jurnal Al Qalam, Vol. 19, No. 2, (2018), hal. 49.","noteIndex":8},"citationItems":[{"id":101,"uris":["http://zotero.org/users/local/7ME6pr6f/items/XKIXKKS2"],"uri":["http://zotero.org/users/local/7ME6pr6f/items/XKIXKKS2"],"itemData":{"id":101,"type":"article-journal","container-title":"Jurnal Al Qalam","issue":"2","page":"35-56","title":"Anti Kekerasan di Sekolah Melalui Internalisasi Prinsip Aswaja Annahdliyah","volume":"Vol. 19","author":[{"family":"Robihan","given":"Ahmad"}],"issued":{"date-parts":[["2018"]]}},"locator":"hal. 49","label":"page"}],"schema":"https://github.com/citation-style-language/schema/raw/master/csl-citation.json"} </w:instrText>
      </w:r>
      <w:r w:rsidRPr="00C71122">
        <w:rPr>
          <w:rFonts w:asciiTheme="majorBidi" w:hAnsiTheme="majorBidi" w:cs="Times New Roman"/>
        </w:rPr>
        <w:fldChar w:fldCharType="separate"/>
      </w:r>
      <w:r w:rsidRPr="00C71122">
        <w:rPr>
          <w:rFonts w:asciiTheme="majorBidi" w:hAnsiTheme="majorBidi" w:cs="Times New Roman"/>
          <w:szCs w:val="24"/>
        </w:rPr>
        <w:t xml:space="preserve">Ahmad Robihan, “Anti Kekerasan di Sekolah Melalui Internalisasi Prinsip Aswaja Annahdliyah,” </w:t>
      </w:r>
      <w:r w:rsidRPr="00C71122">
        <w:rPr>
          <w:rFonts w:asciiTheme="majorBidi" w:hAnsiTheme="majorBidi" w:cs="Times New Roman"/>
          <w:i/>
          <w:iCs/>
          <w:szCs w:val="24"/>
        </w:rPr>
        <w:t>Jurnal Al Qalam,</w:t>
      </w:r>
      <w:r w:rsidRPr="00C71122">
        <w:rPr>
          <w:rFonts w:asciiTheme="majorBidi" w:hAnsiTheme="majorBidi" w:cs="Times New Roman"/>
          <w:szCs w:val="24"/>
        </w:rPr>
        <w:t xml:space="preserve"> Vol. 19, No. 2, (2018), hal. 49.</w:t>
      </w:r>
      <w:r w:rsidRPr="00C71122">
        <w:rPr>
          <w:rFonts w:asciiTheme="majorBidi" w:hAnsiTheme="majorBidi" w:cs="Times New Roman"/>
        </w:rPr>
        <w:fldChar w:fldCharType="end"/>
      </w:r>
    </w:p>
  </w:footnote>
  <w:footnote w:id="9">
    <w:p w14:paraId="64E65C3B" w14:textId="77777777" w:rsidR="00754C61" w:rsidRDefault="00754C61" w:rsidP="00754C61">
      <w:pPr>
        <w:pStyle w:val="FootnoteText"/>
        <w:ind w:firstLine="720"/>
        <w:jc w:val="both"/>
      </w:pPr>
      <w:r w:rsidRPr="00C71122">
        <w:rPr>
          <w:rStyle w:val="FootnoteReference"/>
          <w:rFonts w:asciiTheme="majorBidi" w:hAnsiTheme="majorBidi"/>
        </w:rPr>
        <w:footnoteRef/>
      </w:r>
      <w:r w:rsidRPr="00C71122">
        <w:rPr>
          <w:rFonts w:asciiTheme="majorBidi" w:hAnsiTheme="majorBidi" w:cs="Times New Roman"/>
        </w:rPr>
        <w:t xml:space="preserve"> </w:t>
      </w:r>
      <w:r w:rsidRPr="00C71122">
        <w:rPr>
          <w:rFonts w:asciiTheme="majorBidi" w:hAnsiTheme="majorBidi" w:cs="Times New Roman"/>
        </w:rPr>
        <w:fldChar w:fldCharType="begin"/>
      </w:r>
      <w:r w:rsidRPr="00C71122">
        <w:rPr>
          <w:rFonts w:asciiTheme="majorBidi" w:hAnsiTheme="majorBidi" w:cs="Times New Roman"/>
        </w:rPr>
        <w:instrText xml:space="preserve"> ADDIN ZOTERO_ITEM CSL_CITATION {"citationID":"8Fh53hxi","properties":{"custom":"Ahmad Novi, M. Zainuddin Alanshari, dan Ahamad Suyuthi, \\uc0\\u8220{}Implementasi Prinsip At-Tawasuth Ahlussunnah wal Jama\\uc0\\u8217{}ah Annahdliyah dalam Kegiatan Keagamaan,\\uc0\\u8221{} {\\i{}Sawabiq: Jurnal Keislaman,} Vol. 1, No. 1, (2020), hal. 6.","formattedCitation":"Ahmad Novi, M. Zainuddin Alanshari, dan Ahamad Suyuthi, \\uc0\\u8220{}Implementasi Prinsip At-Tawasuth Ahlussunnah wal Jama\\uc0\\u8217{}ah Annahdliyah dalam Kegiatan Keagamaan,\\uc0\\u8221{} {\\i{}Sawabiq: Jurnal Keislaman,} Vol. 1, No. 1, (2020), hal. 6.","plainCitation":"Ahmad Novi, M. Zainuddin Alanshari, dan Ahamad Suyuthi, “Implementasi Prinsip At-Tawasuth Ahlussunnah wal Jama’ah Annahdliyah dalam Kegiatan Keagamaan,” Sawabiq: Jurnal Keislaman, Vol. 1, No. 1, (2020), hal. 6.","noteIndex":9},"citationItems":[{"id":102,"uris":["http://zotero.org/users/local/7ME6pr6f/items/9JI48WWT"],"uri":["http://zotero.org/users/local/7ME6pr6f/items/9JI48WWT"],"itemData":{"id":102,"type":"article-journal","container-title":"Sawabiq: Jurnal Keislaman","issue":"1","page":"1-9","title":"Implementasi Prinsip At-Tawasuth Ahlussunnah wal Jama'ah Annahdliyah dalam Kegiatan Keagamaan","volume":"Vol. 1","author":[{"family":"Novi","given":"Ahmad"},{"family":"Alanshari","given":"M. Zainuddin"},{"family":"Suyuthi","given":"Ahamad"}],"issued":{"date-parts":[["2020"]]}},"locator":"hal. 6","label":"page"}],"schema":"https://github.com/citation-style-language/schema/raw/master/csl-citation.json"} </w:instrText>
      </w:r>
      <w:r w:rsidRPr="00C71122">
        <w:rPr>
          <w:rFonts w:asciiTheme="majorBidi" w:hAnsiTheme="majorBidi" w:cs="Times New Roman"/>
        </w:rPr>
        <w:fldChar w:fldCharType="separate"/>
      </w:r>
      <w:r w:rsidRPr="00C71122">
        <w:rPr>
          <w:rFonts w:asciiTheme="majorBidi" w:hAnsiTheme="majorBidi" w:cs="Times New Roman"/>
          <w:szCs w:val="24"/>
        </w:rPr>
        <w:t xml:space="preserve">Ahmad Novi, M. Zainuddin Alanshari, dan Ahamad Suyuthi, “Implementasi Prinsip At-Tawasuth Ahlussunnah wal Jama’ah Annahdliyah dalam Kegiatan Keagamaan,” </w:t>
      </w:r>
      <w:r w:rsidRPr="00C71122">
        <w:rPr>
          <w:rFonts w:asciiTheme="majorBidi" w:hAnsiTheme="majorBidi" w:cs="Times New Roman"/>
          <w:i/>
          <w:iCs/>
          <w:szCs w:val="24"/>
        </w:rPr>
        <w:t>Sawabiq: Jurnal Keislaman,</w:t>
      </w:r>
      <w:r w:rsidRPr="00C71122">
        <w:rPr>
          <w:rFonts w:asciiTheme="majorBidi" w:hAnsiTheme="majorBidi" w:cs="Times New Roman"/>
          <w:szCs w:val="24"/>
        </w:rPr>
        <w:t xml:space="preserve"> Vol. 1, No. 1, (2020), hal. 6.</w:t>
      </w:r>
      <w:r w:rsidRPr="00C71122">
        <w:rPr>
          <w:rFonts w:asciiTheme="majorBidi" w:hAnsiTheme="majorBidi" w:cs="Times New Roman"/>
        </w:rPr>
        <w:fldChar w:fldCharType="end"/>
      </w:r>
    </w:p>
  </w:footnote>
  <w:footnote w:id="10">
    <w:p w14:paraId="746D3BEA" w14:textId="77777777" w:rsidR="00754C61" w:rsidRDefault="00754C61" w:rsidP="00754C61">
      <w:pPr>
        <w:pStyle w:val="FootnoteText"/>
        <w:ind w:firstLine="720"/>
        <w:jc w:val="both"/>
      </w:pPr>
      <w:r w:rsidRPr="00C2366B">
        <w:rPr>
          <w:rStyle w:val="FootnoteReference"/>
          <w:rFonts w:asciiTheme="majorBidi" w:hAnsiTheme="majorBidi"/>
        </w:rPr>
        <w:footnoteRef/>
      </w:r>
      <w:r w:rsidRPr="00C2366B">
        <w:rPr>
          <w:rFonts w:asciiTheme="majorBidi" w:hAnsiTheme="majorBidi" w:cs="Times New Roman"/>
        </w:rPr>
        <w:t xml:space="preserve"> </w:t>
      </w:r>
      <w:r w:rsidRPr="00C2366B">
        <w:rPr>
          <w:rFonts w:asciiTheme="majorBidi" w:hAnsiTheme="majorBidi" w:cs="Times New Roman"/>
        </w:rPr>
        <w:fldChar w:fldCharType="begin"/>
      </w:r>
      <w:r w:rsidRPr="00C2366B">
        <w:rPr>
          <w:rFonts w:asciiTheme="majorBidi" w:hAnsiTheme="majorBidi" w:cs="Times New Roman"/>
        </w:rPr>
        <w:instrText xml:space="preserve"> ADDIN ZOTERO_ITEM CSL_CITATION {"citationID":"TNVWJEYr","properties":{"formattedCitation":"Robihan, \\uc0\\u8220{}Anti Kekerasan di Sekolah Melalui Internalisasi Prinsip Aswaja Annahdliyah,\\uc0\\u8221{} hal. 51.","plainCitation":"Robihan, “Anti Kekerasan di Sekolah Melalui Internalisasi Prinsip Aswaja Annahdliyah,” hal. 51.","noteIndex":10},"citationItems":[{"id":101,"uris":["http://zotero.org/users/local/7ME6pr6f/items/XKIXKKS2"],"uri":["http://zotero.org/users/local/7ME6pr6f/items/XKIXKKS2"],"itemData":{"id":101,"type":"article-journal","container-title":"Jurnal Al Qalam","issue":"2","page":"35-56","title":"Anti Kekerasan di Sekolah Melalui Internalisasi Prinsip Aswaja Annahdliyah","volume":"Vol. 19","author":[{"family":"Robihan","given":"Ahmad"}],"issued":{"date-parts":[["2018"]]}},"locator":"hal. 51","label":"page"}],"schema":"https://github.com/citation-style-language/schema/raw/master/csl-citation.json"} </w:instrText>
      </w:r>
      <w:r w:rsidRPr="00C2366B">
        <w:rPr>
          <w:rFonts w:asciiTheme="majorBidi" w:hAnsiTheme="majorBidi" w:cs="Times New Roman"/>
        </w:rPr>
        <w:fldChar w:fldCharType="separate"/>
      </w:r>
      <w:r w:rsidRPr="00C2366B">
        <w:rPr>
          <w:rFonts w:asciiTheme="majorBidi" w:hAnsiTheme="majorBidi" w:cs="Times New Roman"/>
          <w:szCs w:val="24"/>
        </w:rPr>
        <w:t>Robihan, “Anti Kekerasan di Sekolah Melalui Internalisasi Prinsip Aswaja Annahdliyah,” hal. 51.</w:t>
      </w:r>
      <w:r w:rsidRPr="00C2366B">
        <w:rPr>
          <w:rFonts w:asciiTheme="majorBidi" w:hAnsiTheme="majorBidi" w:cs="Times New Roman"/>
        </w:rPr>
        <w:fldChar w:fldCharType="end"/>
      </w:r>
    </w:p>
  </w:footnote>
  <w:footnote w:id="11">
    <w:p w14:paraId="1DA08336" w14:textId="77777777" w:rsidR="00754C61" w:rsidRDefault="00754C61" w:rsidP="00754C61">
      <w:pPr>
        <w:pStyle w:val="FootnoteText"/>
        <w:ind w:firstLine="720"/>
        <w:jc w:val="both"/>
      </w:pPr>
      <w:r w:rsidRPr="00FD6623">
        <w:rPr>
          <w:rStyle w:val="FootnoteReference"/>
          <w:rFonts w:asciiTheme="majorBidi" w:hAnsiTheme="majorBidi"/>
        </w:rPr>
        <w:footnoteRef/>
      </w:r>
      <w:r w:rsidRPr="00FD6623">
        <w:rPr>
          <w:rFonts w:asciiTheme="majorBidi" w:hAnsiTheme="majorBidi" w:cs="Times New Roman"/>
        </w:rPr>
        <w:t xml:space="preserve"> </w:t>
      </w:r>
      <w:r w:rsidRPr="00FD6623">
        <w:rPr>
          <w:rFonts w:asciiTheme="majorBidi" w:hAnsiTheme="majorBidi" w:cs="Times New Roman"/>
        </w:rPr>
        <w:fldChar w:fldCharType="begin"/>
      </w:r>
      <w:r w:rsidRPr="00FD6623">
        <w:rPr>
          <w:rFonts w:asciiTheme="majorBidi" w:hAnsiTheme="majorBidi" w:cs="Times New Roman"/>
        </w:rPr>
        <w:instrText xml:space="preserve"> ADDIN ZOTERO_ITEM CSL_CITATION {"citationID":"cBy83as9","properties":{"custom":"Muhammad Fahmi, \\uc0\\u8220{}Pendidikan Aswaja NU Dalam Konteks Pluralisme,\\uc0\\u8221{} {\\i{}Jurnal Pendidikan Agama Islam,} Vol. 1, No. 1, (2013), hal. 171.","formattedCitation":"Muhammad Fahmi, \\uc0\\u8220{}Pendidikan Aswaja NU Dalam Konteks Pluralisme,\\uc0\\u8221{} {\\i{}Jurnal Pendidikan Agama Islam,} Vol. 1, No. 1, (2013), hal. 171.","plainCitation":"Muhammad Fahmi, “Pendidikan Aswaja NU Dalam Konteks Pluralisme,” Jurnal Pendidikan Agama Islam, Vol. 1, No. 1, (2013), hal. 171.","noteIndex":11},"citationItems":[{"id":103,"uris":["http://zotero.org/users/local/7ME6pr6f/items/2DGLYKWW"],"uri":["http://zotero.org/users/local/7ME6pr6f/items/2DGLYKWW"],"itemData":{"id":103,"type":"article-journal","container-title":"Jurnal Pendidikan Agama Islam","issue":"1","page":"162-179","title":"Pendidikan Aswaja NU Dalam Konteks Pluralisme","volume":"Vol. 1","author":[{"family":"Fahmi","given":"Muhammad"}],"issued":{"date-parts":[["2013"]]}},"locator":"hal. 171","label":"page"}],"schema":"https://github.com/citation-style-language/schema/raw/master/csl-citation.json"} </w:instrText>
      </w:r>
      <w:r w:rsidRPr="00FD6623">
        <w:rPr>
          <w:rFonts w:asciiTheme="majorBidi" w:hAnsiTheme="majorBidi" w:cs="Times New Roman"/>
        </w:rPr>
        <w:fldChar w:fldCharType="separate"/>
      </w:r>
      <w:r w:rsidRPr="00FD6623">
        <w:rPr>
          <w:rFonts w:asciiTheme="majorBidi" w:hAnsiTheme="majorBidi" w:cs="Times New Roman"/>
          <w:szCs w:val="24"/>
        </w:rPr>
        <w:t xml:space="preserve">Muhammad Fahmi, “Pendidikan Aswaja NU Dalam Konteks Pluralisme,” </w:t>
      </w:r>
      <w:r w:rsidRPr="00FD6623">
        <w:rPr>
          <w:rFonts w:asciiTheme="majorBidi" w:hAnsiTheme="majorBidi" w:cs="Times New Roman"/>
          <w:i/>
          <w:iCs/>
          <w:szCs w:val="24"/>
        </w:rPr>
        <w:t>Jurnal Pendidikan Agama Islam,</w:t>
      </w:r>
      <w:r w:rsidRPr="00FD6623">
        <w:rPr>
          <w:rFonts w:asciiTheme="majorBidi" w:hAnsiTheme="majorBidi" w:cs="Times New Roman"/>
          <w:szCs w:val="24"/>
        </w:rPr>
        <w:t xml:space="preserve"> Vol. 1, No. 1, (2013), hal. 171.</w:t>
      </w:r>
      <w:r w:rsidRPr="00FD6623">
        <w:rPr>
          <w:rFonts w:asciiTheme="majorBidi" w:hAnsiTheme="majorBidi" w:cs="Times New Roman"/>
        </w:rPr>
        <w:fldChar w:fldCharType="end"/>
      </w:r>
    </w:p>
  </w:footnote>
  <w:footnote w:id="12">
    <w:p w14:paraId="31D66431" w14:textId="77777777" w:rsidR="00754C61" w:rsidRDefault="00754C61" w:rsidP="00754C61">
      <w:pPr>
        <w:pStyle w:val="FootnoteText"/>
        <w:ind w:firstLine="720"/>
        <w:jc w:val="both"/>
      </w:pPr>
      <w:r w:rsidRPr="009A7C57">
        <w:rPr>
          <w:rStyle w:val="FootnoteReference"/>
          <w:rFonts w:asciiTheme="majorBidi" w:hAnsiTheme="majorBidi"/>
        </w:rPr>
        <w:footnoteRef/>
      </w:r>
      <w:r w:rsidRPr="009A7C57">
        <w:rPr>
          <w:rFonts w:asciiTheme="majorBidi" w:hAnsiTheme="majorBidi" w:cs="Times New Roman"/>
        </w:rPr>
        <w:t xml:space="preserve"> </w:t>
      </w:r>
      <w:r w:rsidRPr="009A7C57">
        <w:rPr>
          <w:rFonts w:asciiTheme="majorBidi" w:hAnsiTheme="majorBidi" w:cs="Times New Roman"/>
        </w:rPr>
        <w:fldChar w:fldCharType="begin"/>
      </w:r>
      <w:r w:rsidRPr="009A7C57">
        <w:rPr>
          <w:rFonts w:asciiTheme="majorBidi" w:hAnsiTheme="majorBidi" w:cs="Times New Roman"/>
        </w:rPr>
        <w:instrText xml:space="preserve"> ADDIN ZOTERO_ITEM CSL_CITATION {"citationID":"Dx5uH5cz","properties":{"formattedCitation":"Robihan, \\uc0\\u8220{}Anti Kekerasan di Sekolah Melalui Internalisasi Prinsip Aswaja Annahdliyah,\\uc0\\u8221{} hal. 51.","plainCitation":"Robihan, “Anti Kekerasan di Sekolah Melalui Internalisasi Prinsip Aswaja Annahdliyah,” hal. 51.","noteIndex":12},"citationItems":[{"id":101,"uris":["http://zotero.org/users/local/7ME6pr6f/items/XKIXKKS2"],"uri":["http://zotero.org/users/local/7ME6pr6f/items/XKIXKKS2"],"itemData":{"id":101,"type":"article-journal","container-title":"Jurnal Al Qalam","issue":"2","page":"35-56","title":"Anti Kekerasan di Sekolah Melalui Internalisasi Prinsip Aswaja Annahdliyah","volume":"Vol. 19","author":[{"family":"Robihan","given":"Ahmad"}],"issued":{"date-parts":[["2018"]]}},"locator":"hal. 51","label":"page"}],"schema":"https://github.com/citation-style-language/schema/raw/master/csl-citation.json"} </w:instrText>
      </w:r>
      <w:r w:rsidRPr="009A7C57">
        <w:rPr>
          <w:rFonts w:asciiTheme="majorBidi" w:hAnsiTheme="majorBidi" w:cs="Times New Roman"/>
        </w:rPr>
        <w:fldChar w:fldCharType="separate"/>
      </w:r>
      <w:r w:rsidRPr="009A7C57">
        <w:rPr>
          <w:rFonts w:asciiTheme="majorBidi" w:hAnsiTheme="majorBidi" w:cs="Times New Roman"/>
          <w:szCs w:val="24"/>
        </w:rPr>
        <w:t>Robihan, “Anti Kekerasan di Sekolah Melalui Internalisasi Prinsip Aswaja Annahdliyah,” hal. 51.</w:t>
      </w:r>
      <w:r w:rsidRPr="009A7C57">
        <w:rPr>
          <w:rFonts w:asciiTheme="majorBidi" w:hAnsiTheme="majorBidi" w:cs="Times New Roman"/>
        </w:rPr>
        <w:fldChar w:fldCharType="end"/>
      </w:r>
    </w:p>
  </w:footnote>
  <w:footnote w:id="13">
    <w:p w14:paraId="08CE80C6" w14:textId="77777777" w:rsidR="00754C61" w:rsidRDefault="00754C61" w:rsidP="00754C61">
      <w:pPr>
        <w:pStyle w:val="FootnoteText"/>
        <w:ind w:firstLine="720"/>
        <w:jc w:val="both"/>
      </w:pPr>
      <w:r w:rsidRPr="00CF2098">
        <w:rPr>
          <w:rStyle w:val="FootnoteReference"/>
          <w:rFonts w:asciiTheme="majorBidi" w:hAnsiTheme="majorBidi"/>
        </w:rPr>
        <w:footnoteRef/>
      </w:r>
      <w:r w:rsidRPr="00CF2098">
        <w:rPr>
          <w:rFonts w:asciiTheme="majorBidi" w:hAnsiTheme="majorBidi" w:cs="Times New Roman"/>
        </w:rPr>
        <w:t xml:space="preserve"> </w:t>
      </w:r>
      <w:r w:rsidRPr="00CF2098">
        <w:rPr>
          <w:rFonts w:asciiTheme="majorBidi" w:hAnsiTheme="majorBidi" w:cs="Times New Roman"/>
        </w:rPr>
        <w:fldChar w:fldCharType="begin"/>
      </w:r>
      <w:r w:rsidRPr="00CF2098">
        <w:rPr>
          <w:rFonts w:asciiTheme="majorBidi" w:hAnsiTheme="majorBidi" w:cs="Times New Roman"/>
        </w:rPr>
        <w:instrText xml:space="preserve"> ADDIN ZOTERO_ITEM CSL_CITATION {"citationID":"aeOhRehL","properties":{"custom":"Nailul Khikam, AH dan Hilyah Ashoumi, \\uc0\\u8220{}Pola Pikir Santri Pondok Pesantren Al Muhajirin 3 Tambakberas Jombang Terhadap Ajaran Ahlusunnah Wal Jama\\uc0\\u8217{}ah (Aswaja) Tentang Tawasut Tawazun Dan Tasamuh.,\\uc0\\u8221{} {\\i{}Dinamika,} Vol. 4, No. 1, (2019), hal. 68.","formattedCitation":"Nailul Khikam, AH dan Hilyah Ashoumi, \\uc0\\u8220{}Pola Pikir Santri Pondok Pesantren Al Muhajirin 3 Tambakberas Jombang Terhadap Ajaran Ahlusunnah Wal Jama\\uc0\\u8217{}ah (Aswaja) Tentang Tawasut Tawazun Dan Tasamuh.,\\uc0\\u8221{} {\\i{}Dinamika,} Vol. 4, No. 1, (2019), hal. 68.","plainCitation":"Nailul Khikam, AH dan Hilyah Ashoumi, “Pola Pikir Santri Pondok Pesantren Al Muhajirin 3 Tambakberas Jombang Terhadap Ajaran Ahlusunnah Wal Jama’ah (Aswaja) Tentang Tawasut Tawazun Dan Tasamuh.,” Dinamika, Vol. 4, No. 1, (2019), hal. 68.","noteIndex":13},"citationItems":[{"id":104,"uris":["http://zotero.org/users/local/7ME6pr6f/items/3RXI6MUR"],"uri":["http://zotero.org/users/local/7ME6pr6f/items/3RXI6MUR"],"itemData":{"id":104,"type":"article-journal","container-title":"Dinamika","issue":"1","page":"55-74","title":"Pola Pikir Santri Pondok Pesantren Al Muhajirin 3 Tambakberas Jombang Terhadap Ajaran Ahlusunnah Wal Jama’ah (Aswaja) Tentang Tawasut Tawazun Dan Tasamuh.","volume":"Vol. 4","author":[{"family":"Khikam, AH","given":"Nailul"},{"family":"Ashoumi","given":"Hilyah"}],"issued":{"date-parts":[["2019"]]}},"locator":"hal. 68","label":"page"}],"schema":"https://github.com/citation-style-language/schema/raw/master/csl-citation.json"} </w:instrText>
      </w:r>
      <w:r w:rsidRPr="00CF2098">
        <w:rPr>
          <w:rFonts w:asciiTheme="majorBidi" w:hAnsiTheme="majorBidi" w:cs="Times New Roman"/>
        </w:rPr>
        <w:fldChar w:fldCharType="separate"/>
      </w:r>
      <w:r w:rsidRPr="00CF2098">
        <w:rPr>
          <w:rFonts w:asciiTheme="majorBidi" w:hAnsiTheme="majorBidi" w:cs="Times New Roman"/>
          <w:szCs w:val="24"/>
        </w:rPr>
        <w:t xml:space="preserve">Nailul Khikam, AH dan Hilyah Ashoumi, “Pola Pikir Santri Pondok Pesantren Al Muhajirin 3 Tambakberas Jombang Terhadap Ajaran Ahlusunnah Wal Jama’ah (Aswaja) Tentang Tawasut Tawazun Dan Tasamuh.,” </w:t>
      </w:r>
      <w:r w:rsidRPr="00CF2098">
        <w:rPr>
          <w:rFonts w:asciiTheme="majorBidi" w:hAnsiTheme="majorBidi" w:cs="Times New Roman"/>
          <w:i/>
          <w:iCs/>
          <w:szCs w:val="24"/>
        </w:rPr>
        <w:t>Dinamika,</w:t>
      </w:r>
      <w:r w:rsidRPr="00CF2098">
        <w:rPr>
          <w:rFonts w:asciiTheme="majorBidi" w:hAnsiTheme="majorBidi" w:cs="Times New Roman"/>
          <w:szCs w:val="24"/>
        </w:rPr>
        <w:t xml:space="preserve"> Vol. 4, No. 1, (2019), hal. 68.</w:t>
      </w:r>
      <w:r w:rsidRPr="00CF2098">
        <w:rPr>
          <w:rFonts w:asciiTheme="majorBidi" w:hAnsiTheme="majorBidi" w:cs="Times New Roman"/>
        </w:rPr>
        <w:fldChar w:fldCharType="end"/>
      </w:r>
    </w:p>
  </w:footnote>
  <w:footnote w:id="14">
    <w:p w14:paraId="752EDEA7" w14:textId="77777777" w:rsidR="00754C61" w:rsidRDefault="00754C61" w:rsidP="00754C61">
      <w:pPr>
        <w:pStyle w:val="FootnoteText"/>
        <w:ind w:firstLine="720"/>
        <w:jc w:val="both"/>
      </w:pPr>
      <w:r w:rsidRPr="00034856">
        <w:rPr>
          <w:rStyle w:val="FootnoteReference"/>
          <w:rFonts w:asciiTheme="majorBidi" w:hAnsiTheme="majorBidi"/>
        </w:rPr>
        <w:footnoteRef/>
      </w:r>
      <w:r w:rsidRPr="00034856">
        <w:rPr>
          <w:rFonts w:asciiTheme="majorBidi" w:hAnsiTheme="majorBidi" w:cs="Times New Roman"/>
        </w:rPr>
        <w:t xml:space="preserve"> </w:t>
      </w:r>
      <w:r w:rsidRPr="00034856">
        <w:rPr>
          <w:rFonts w:asciiTheme="majorBidi" w:hAnsiTheme="majorBidi" w:cs="Times New Roman"/>
        </w:rPr>
        <w:fldChar w:fldCharType="begin"/>
      </w:r>
      <w:r w:rsidRPr="00034856">
        <w:rPr>
          <w:rFonts w:asciiTheme="majorBidi" w:hAnsiTheme="majorBidi" w:cs="Times New Roman"/>
        </w:rPr>
        <w:instrText xml:space="preserve"> ADDIN ZOTERO_ITEM CSL_CITATION {"citationID":"xeLBsavp","properties":{"formattedCitation":"Robihan, \\uc0\\u8220{}Anti Kekerasan di Sekolah Melalui Internalisasi Prinsip Aswaja Annahdliyah,\\uc0\\u8221{} hal. 52.","plainCitation":"Robihan, “Anti Kekerasan di Sekolah Melalui Internalisasi Prinsip Aswaja Annahdliyah,” hal. 52.","noteIndex":14},"citationItems":[{"id":101,"uris":["http://zotero.org/users/local/7ME6pr6f/items/XKIXKKS2"],"uri":["http://zotero.org/users/local/7ME6pr6f/items/XKIXKKS2"],"itemData":{"id":101,"type":"article-journal","container-title":"Jurnal Al Qalam","issue":"2","page":"35-56","title":"Anti Kekerasan di Sekolah Melalui Internalisasi Prinsip Aswaja Annahdliyah","volume":"Vol. 19","author":[{"family":"Robihan","given":"Ahmad"}],"issued":{"date-parts":[["2018"]]}},"locator":"hal. 52","label":"page"}],"schema":"https://github.com/citation-style-language/schema/raw/master/csl-citation.json"} </w:instrText>
      </w:r>
      <w:r w:rsidRPr="00034856">
        <w:rPr>
          <w:rFonts w:asciiTheme="majorBidi" w:hAnsiTheme="majorBidi" w:cs="Times New Roman"/>
        </w:rPr>
        <w:fldChar w:fldCharType="separate"/>
      </w:r>
      <w:r w:rsidRPr="00034856">
        <w:rPr>
          <w:rFonts w:asciiTheme="majorBidi" w:hAnsiTheme="majorBidi" w:cs="Times New Roman"/>
          <w:szCs w:val="24"/>
        </w:rPr>
        <w:t>Robihan, “Anti Kekerasan di Sekolah Melalui Internalisasi Prinsip Aswaja Annahdliyah,” hal. 52.</w:t>
      </w:r>
      <w:r w:rsidRPr="00034856">
        <w:rPr>
          <w:rFonts w:asciiTheme="majorBidi" w:hAnsiTheme="majorBidi" w:cs="Times New Roman"/>
        </w:rPr>
        <w:fldChar w:fldCharType="end"/>
      </w:r>
    </w:p>
  </w:footnote>
  <w:footnote w:id="15">
    <w:p w14:paraId="2220ABC0" w14:textId="77777777" w:rsidR="00754C61" w:rsidRDefault="00754C61" w:rsidP="00754C61">
      <w:pPr>
        <w:pStyle w:val="FootnoteText"/>
        <w:ind w:firstLine="720"/>
        <w:jc w:val="both"/>
      </w:pPr>
      <w:r w:rsidRPr="005F3D28">
        <w:rPr>
          <w:rStyle w:val="FootnoteReference"/>
          <w:rFonts w:asciiTheme="majorBidi" w:hAnsiTheme="majorBidi"/>
        </w:rPr>
        <w:footnoteRef/>
      </w:r>
      <w:r w:rsidRPr="005F3D28">
        <w:rPr>
          <w:rFonts w:asciiTheme="majorBidi" w:hAnsiTheme="majorBidi" w:cs="Times New Roman"/>
        </w:rPr>
        <w:t xml:space="preserve"> </w:t>
      </w:r>
      <w:r w:rsidRPr="005F3D28">
        <w:rPr>
          <w:rFonts w:asciiTheme="majorBidi" w:hAnsiTheme="majorBidi" w:cs="Times New Roman"/>
        </w:rPr>
        <w:fldChar w:fldCharType="begin"/>
      </w:r>
      <w:r w:rsidRPr="005F3D28">
        <w:rPr>
          <w:rFonts w:asciiTheme="majorBidi" w:hAnsiTheme="majorBidi" w:cs="Times New Roman"/>
        </w:rPr>
        <w:instrText xml:space="preserve"> ADDIN ZOTERO_ITEM CSL_CITATION {"citationID":"N4ICMSRF","properties":{"formattedCitation":"kemdikbud, \\uc0\\u8220{}Kamus Besar Bahasa Indonesia (KBBI) Daring,\\uc0\\u8221{} 2021, https://kbbi.kemdikbud.go.id/entri/radikalisme.","plainCitation":"kemdikbud, “Kamus Besar Bahasa Indonesia (KBBI) Daring,” 2021, https://kbbi.kemdikbud.go.id/entri/radikalisme.","noteIndex":15},"citationItems":[{"id":76,"uris":["http://zotero.org/users/local/7ME6pr6f/items/TNA448TV"],"uri":["http://zotero.org/users/local/7ME6pr6f/items/TNA448TV"],"itemData":{"id":76,"type":"webpage","title":"Kamus Besar Bahasa Indonesia (KBBI) Daring","URL":"https://kbbi.kemdikbud.go.id/entri/radikalisme","author":[{"family":"kemdikbud","given":""}],"accessed":{"date-parts":[["2021",6,10]]},"issued":{"date-parts":[["2021"]]}}}],"schema":"https://github.com/citation-style-language/schema/raw/master/csl-citation.json"} </w:instrText>
      </w:r>
      <w:r w:rsidRPr="005F3D28">
        <w:rPr>
          <w:rFonts w:asciiTheme="majorBidi" w:hAnsiTheme="majorBidi" w:cs="Times New Roman"/>
        </w:rPr>
        <w:fldChar w:fldCharType="separate"/>
      </w:r>
      <w:r w:rsidRPr="005F3D28">
        <w:rPr>
          <w:rFonts w:asciiTheme="majorBidi" w:hAnsiTheme="majorBidi" w:cs="Times New Roman"/>
          <w:szCs w:val="24"/>
        </w:rPr>
        <w:t>kemdikbud, “Kamus Besar Bahasa Indonesia (KBBI) Daring,” 2021, https://kbbi.kemdikbud.go.id/entri/radikalisme.</w:t>
      </w:r>
      <w:r w:rsidRPr="005F3D28">
        <w:rPr>
          <w:rFonts w:asciiTheme="majorBidi" w:hAnsiTheme="majorBidi" w:cs="Times New Roman"/>
        </w:rPr>
        <w:fldChar w:fldCharType="end"/>
      </w:r>
    </w:p>
  </w:footnote>
  <w:footnote w:id="16">
    <w:p w14:paraId="5A699A9F" w14:textId="77777777" w:rsidR="00754C61" w:rsidRDefault="00754C61" w:rsidP="00754C61">
      <w:pPr>
        <w:pStyle w:val="FootnoteText"/>
        <w:ind w:firstLine="720"/>
        <w:jc w:val="both"/>
      </w:pPr>
      <w:r w:rsidRPr="000434D7">
        <w:rPr>
          <w:rStyle w:val="FootnoteReference"/>
          <w:rFonts w:asciiTheme="majorBidi" w:hAnsiTheme="majorBidi"/>
        </w:rPr>
        <w:footnoteRef/>
      </w:r>
      <w:r w:rsidRPr="000434D7">
        <w:rPr>
          <w:rFonts w:asciiTheme="majorBidi" w:hAnsiTheme="majorBidi" w:cs="Times New Roman"/>
        </w:rPr>
        <w:t xml:space="preserve"> </w:t>
      </w:r>
      <w:r w:rsidRPr="000434D7">
        <w:rPr>
          <w:rFonts w:asciiTheme="majorBidi" w:hAnsiTheme="majorBidi" w:cs="Times New Roman"/>
        </w:rPr>
        <w:fldChar w:fldCharType="begin"/>
      </w:r>
      <w:r w:rsidRPr="000434D7">
        <w:rPr>
          <w:rFonts w:asciiTheme="majorBidi" w:hAnsiTheme="majorBidi" w:cs="Times New Roman"/>
        </w:rPr>
        <w:instrText xml:space="preserve"> ADDIN ZOTERO_ITEM CSL_CITATION {"citationID":"QC4BLisz","properties":{"custom":"Muhammad Nu\\uc0\\u8217{}man Nurridho dan Umi Salamah, \\uc0\\u8220{}Aktualisasi Nilai Aswaja Nahdhatul Ulama dalam Mencegah Radikalisme,\\uc0\\u8221{} {\\i{}Advances in Humanities and Contemporary Studies,} Vol. 2, No. 1, (2021), hal. 69.","formattedCitation":"Muhammad Nu\\uc0\\u8217{}man Nurridho dan Umi Salamah, \\uc0\\u8220{}Aktualisasi Nilai Aswaja Nahdhatul Ulama dalam Mencegah Radikalisme,\\uc0\\u8221{} {\\i{}Advances in Humanities and Contemporary Studies,} Vol. 2, No. 1, (2021), hal. 69.","plainCitation":"Muhammad Nu’man Nurridho dan Umi Salamah, “Aktualisasi Nilai Aswaja Nahdhatul Ulama dalam Mencegah Radikalisme,” Advances in Humanities and Contemporary Studies, Vol. 2, No. 1, (2021), hal. 69.","noteIndex":16},"citationItems":[{"id":105,"uris":["http://zotero.org/users/local/7ME6pr6f/items/655SE5GB"],"uri":["http://zotero.org/users/local/7ME6pr6f/items/655SE5GB"],"itemData":{"id":105,"type":"article-journal","container-title":"Advances in Humanities and Contemporary Studies","issue":"1","page":"65-76","title":"Aktualisasi Nilai Aswaja Nahdhatul Ulama dalam Mencegah Radikalisme","volume":"Vol. 2","author":[{"family":"Nu'man Nurridho","given":"Muhammad"},{"family":"Salamah","given":"Umi"}],"issued":{"date-parts":[["2021"]]}},"locator":"hal. 69","label":"page"}],"schema":"https://github.com/citation-style-language/schema/raw/master/csl-citation.json"} </w:instrText>
      </w:r>
      <w:r w:rsidRPr="000434D7">
        <w:rPr>
          <w:rFonts w:asciiTheme="majorBidi" w:hAnsiTheme="majorBidi" w:cs="Times New Roman"/>
        </w:rPr>
        <w:fldChar w:fldCharType="separate"/>
      </w:r>
      <w:r w:rsidRPr="000434D7">
        <w:rPr>
          <w:rFonts w:asciiTheme="majorBidi" w:hAnsiTheme="majorBidi" w:cs="Times New Roman"/>
          <w:szCs w:val="24"/>
        </w:rPr>
        <w:t xml:space="preserve">Muhammad Nu’man Nurridho dan Umi Salamah, “Aktualisasi Nilai Aswaja Nahdhatul Ulama dalam Mencegah Radikalisme,” </w:t>
      </w:r>
      <w:r w:rsidRPr="000434D7">
        <w:rPr>
          <w:rFonts w:asciiTheme="majorBidi" w:hAnsiTheme="majorBidi" w:cs="Times New Roman"/>
          <w:i/>
          <w:iCs/>
          <w:szCs w:val="24"/>
        </w:rPr>
        <w:t>Advances in Humanities and Contemporary Studies,</w:t>
      </w:r>
      <w:r w:rsidRPr="000434D7">
        <w:rPr>
          <w:rFonts w:asciiTheme="majorBidi" w:hAnsiTheme="majorBidi" w:cs="Times New Roman"/>
          <w:szCs w:val="24"/>
        </w:rPr>
        <w:t xml:space="preserve"> Vol. 2, No. 1, (2021), hal. 69.</w:t>
      </w:r>
      <w:r w:rsidRPr="000434D7">
        <w:rPr>
          <w:rFonts w:asciiTheme="majorBidi" w:hAnsiTheme="majorBidi" w:cs="Times New Roman"/>
        </w:rPr>
        <w:fldChar w:fldCharType="end"/>
      </w:r>
    </w:p>
  </w:footnote>
  <w:footnote w:id="17">
    <w:p w14:paraId="205DB69B" w14:textId="77777777" w:rsidR="00754C61" w:rsidRDefault="00754C61" w:rsidP="00754C61">
      <w:pPr>
        <w:pStyle w:val="FootnoteText"/>
        <w:ind w:firstLine="720"/>
        <w:jc w:val="both"/>
      </w:pPr>
      <w:r w:rsidRPr="008A0765">
        <w:rPr>
          <w:rStyle w:val="FootnoteReference"/>
          <w:rFonts w:asciiTheme="majorBidi" w:hAnsiTheme="majorBidi"/>
        </w:rPr>
        <w:footnoteRef/>
      </w:r>
      <w:r w:rsidRPr="008A0765">
        <w:rPr>
          <w:rFonts w:asciiTheme="majorBidi" w:hAnsiTheme="majorBidi" w:cs="Times New Roman"/>
        </w:rPr>
        <w:t xml:space="preserve"> </w:t>
      </w:r>
      <w:r w:rsidRPr="008A0765">
        <w:rPr>
          <w:rFonts w:asciiTheme="majorBidi" w:hAnsiTheme="majorBidi" w:cs="Times New Roman"/>
        </w:rPr>
        <w:fldChar w:fldCharType="begin"/>
      </w:r>
      <w:r w:rsidRPr="008A0765">
        <w:rPr>
          <w:rFonts w:asciiTheme="majorBidi" w:hAnsiTheme="majorBidi" w:cs="Times New Roman"/>
        </w:rPr>
        <w:instrText xml:space="preserve"> ADDIN ZOTERO_ITEM CSL_CITATION {"citationID":"O6MHmltq","properties":{"formattedCitation":"Subaidi, {\\i{}Pendidikan Islam Risalah Ahlussunnah Wal Jama\\uc0\\u8217{}ah An-Nahdliyah}, 1 ed. (Jepara: UNISNU Press, 2019), hal. 75.","plainCitation":"Subaidi, Pendidikan Islam Risalah Ahlussunnah Wal Jama’ah An-Nahdliyah, 1 ed. (Jepara: UNISNU Press, 2019), hal. 75.","noteIndex":17},"citationItems":[{"id":74,"uris":["http://zotero.org/users/local/7ME6pr6f/items/HLQC9XQ6"],"uri":["http://zotero.org/users/local/7ME6pr6f/items/HLQC9XQ6"],"itemData":{"id":74,"type":"book","edition":"1","event-place":"Jepara","ISBN":"978-623-91604-0-1","publisher":"UNISNU Press","publisher-place":"Jepara","title":"Pendidikan Islam Risalah Ahlussunnah Wal Jama'ah An-Nahdliyah","author":[{"family":"Subaidi","given":""}],"issued":{"date-parts":[["2019"]]}},"locator":"hal. 75","label":"page"}],"schema":"https://github.com/citation-style-language/schema/raw/master/csl-citation.json"} </w:instrText>
      </w:r>
      <w:r w:rsidRPr="008A0765">
        <w:rPr>
          <w:rFonts w:asciiTheme="majorBidi" w:hAnsiTheme="majorBidi" w:cs="Times New Roman"/>
        </w:rPr>
        <w:fldChar w:fldCharType="separate"/>
      </w:r>
      <w:r w:rsidRPr="008A0765">
        <w:rPr>
          <w:rFonts w:asciiTheme="majorBidi" w:hAnsiTheme="majorBidi" w:cs="Times New Roman"/>
          <w:szCs w:val="24"/>
        </w:rPr>
        <w:t xml:space="preserve">Subaidi, </w:t>
      </w:r>
      <w:r w:rsidRPr="008A0765">
        <w:rPr>
          <w:rFonts w:asciiTheme="majorBidi" w:hAnsiTheme="majorBidi" w:cs="Times New Roman"/>
          <w:i/>
          <w:iCs/>
          <w:szCs w:val="24"/>
        </w:rPr>
        <w:t>Pendidikan Islam Risalah Ahlussunnah Wal Jama’ah An-Nahdliyah</w:t>
      </w:r>
      <w:r w:rsidRPr="008A0765">
        <w:rPr>
          <w:rFonts w:asciiTheme="majorBidi" w:hAnsiTheme="majorBidi" w:cs="Times New Roman"/>
          <w:szCs w:val="24"/>
        </w:rPr>
        <w:t>, 1 ed. (Jepara: UNISNU Press, 2019), hal. 75.</w:t>
      </w:r>
      <w:r w:rsidRPr="008A0765">
        <w:rPr>
          <w:rFonts w:asciiTheme="majorBidi" w:hAnsiTheme="majorBidi" w:cs="Times New Roman"/>
        </w:rPr>
        <w:fldChar w:fldCharType="end"/>
      </w:r>
    </w:p>
  </w:footnote>
  <w:footnote w:id="18">
    <w:p w14:paraId="463320EA" w14:textId="77777777" w:rsidR="00754C61" w:rsidRDefault="00754C61" w:rsidP="00754C61">
      <w:pPr>
        <w:pStyle w:val="FootnoteText"/>
        <w:ind w:firstLine="720"/>
        <w:jc w:val="both"/>
      </w:pPr>
      <w:r w:rsidRPr="00265E5D">
        <w:rPr>
          <w:rStyle w:val="FootnoteReference"/>
          <w:rFonts w:asciiTheme="majorBidi" w:hAnsiTheme="majorBidi"/>
        </w:rPr>
        <w:footnoteRef/>
      </w:r>
      <w:r w:rsidRPr="00265E5D">
        <w:rPr>
          <w:rFonts w:asciiTheme="majorBidi" w:hAnsiTheme="majorBidi" w:cs="Times New Roman"/>
        </w:rPr>
        <w:t xml:space="preserve"> </w:t>
      </w:r>
      <w:r w:rsidRPr="00265E5D">
        <w:rPr>
          <w:rFonts w:asciiTheme="majorBidi" w:hAnsiTheme="majorBidi" w:cs="Times New Roman"/>
        </w:rPr>
        <w:fldChar w:fldCharType="begin"/>
      </w:r>
      <w:r w:rsidRPr="00265E5D">
        <w:rPr>
          <w:rFonts w:asciiTheme="majorBidi" w:hAnsiTheme="majorBidi" w:cs="Times New Roman"/>
        </w:rPr>
        <w:instrText xml:space="preserve"> ADDIN ZOTERO_ITEM CSL_CITATION {"citationID":"jOalFfQv","properties":{"custom":"Wahyudin Hafid, \\uc0\\u8220{}Geneologi Radikalisme Di Indonesia (Melacak Akar Sejarah Gerakan Radikal),\\uc0\\u8221{} {\\i{}Al-Tafaqquh: Journal of Islamic Law, Fakultas Agama Islam UMI,} Vol. 1, No. 1, (2020): hal. 33.","formattedCitation":"Wahyudin Hafid, \\uc0\\u8220{}Geneologi Radikalisme Di Indonesia (Melacak Akar Sejarah Gerakan Radikal),\\uc0\\u8221{} {\\i{}Al-Tafaqquh: Journal of Islamic Law, Fakultas Agama Islam UMI,} Vol. 1, No. 1, (2020): hal. 33.","plainCitation":"Wahyudin Hafid, “Geneologi Radikalisme Di Indonesia (Melacak Akar Sejarah Gerakan Radikal),” Al-Tafaqquh: Journal of Islamic Law, Fakultas Agama Islam UMI, Vol. 1, No. 1, (2020): hal. 33.","noteIndex":24},"citationItems":[{"id":75,"uris":["http://zotero.org/users/local/7ME6pr6f/items/T32LXPTU"],"uri":["http://zotero.org/users/local/7ME6pr6f/items/T32LXPTU"],"itemData":{"id":75,"type":"article-journal","container-title":"Al-Tafaqquh: Journal of Islamic Law, Fakultas Agama Islam UMI","issue":"1","page":"31-46","title":"Geneologi Radikalisme di Indonesia (Melacak Akar Sejarah Gerakan Radikal)","volume":"Vol. 1","author":[{"family":"Hafid","given":"Wahyudin"}],"issued":{"date-parts":[["2020"]]}},"locator":"hal. 33","label":"page"}],"schema":"https://github.com/citation-style-language/schema/raw/master/csl-citation.json"} </w:instrText>
      </w:r>
      <w:r w:rsidRPr="00265E5D">
        <w:rPr>
          <w:rFonts w:asciiTheme="majorBidi" w:hAnsiTheme="majorBidi" w:cs="Times New Roman"/>
        </w:rPr>
        <w:fldChar w:fldCharType="separate"/>
      </w:r>
      <w:r w:rsidRPr="00265E5D">
        <w:rPr>
          <w:rFonts w:asciiTheme="majorBidi" w:hAnsiTheme="majorBidi" w:cs="Times New Roman"/>
          <w:szCs w:val="24"/>
        </w:rPr>
        <w:t xml:space="preserve">Wahyudin Hafid, “Geneologi Radikalisme Di Indonesia (Melacak Akar Sejarah Gerakan Radikal),” </w:t>
      </w:r>
      <w:r w:rsidRPr="00265E5D">
        <w:rPr>
          <w:rFonts w:asciiTheme="majorBidi" w:hAnsiTheme="majorBidi" w:cs="Times New Roman"/>
          <w:i/>
          <w:iCs/>
          <w:szCs w:val="24"/>
        </w:rPr>
        <w:t>Al-Tafaqquh: Journal of Islamic Law, Fakultas Agama Islam UMI,</w:t>
      </w:r>
      <w:r w:rsidRPr="00265E5D">
        <w:rPr>
          <w:rFonts w:asciiTheme="majorBidi" w:hAnsiTheme="majorBidi" w:cs="Times New Roman"/>
          <w:szCs w:val="24"/>
        </w:rPr>
        <w:t xml:space="preserve"> Vol. 1, No. 1, (2020): hal. 33.</w:t>
      </w:r>
      <w:r w:rsidRPr="00265E5D">
        <w:rPr>
          <w:rFonts w:asciiTheme="majorBidi" w:hAnsiTheme="majorBidi" w:cs="Times New Roman"/>
        </w:rPr>
        <w:fldChar w:fldCharType="end"/>
      </w:r>
    </w:p>
  </w:footnote>
  <w:footnote w:id="19">
    <w:p w14:paraId="32828B39" w14:textId="77777777" w:rsidR="00754C61" w:rsidRDefault="00754C61" w:rsidP="00754C61">
      <w:pPr>
        <w:pStyle w:val="FootnoteText"/>
        <w:ind w:firstLine="720"/>
        <w:jc w:val="both"/>
      </w:pPr>
      <w:r w:rsidRPr="00D12CE4">
        <w:rPr>
          <w:rStyle w:val="FootnoteReference"/>
          <w:rFonts w:asciiTheme="majorBidi" w:hAnsiTheme="majorBidi"/>
        </w:rPr>
        <w:footnoteRef/>
      </w:r>
      <w:r w:rsidRPr="00D12CE4">
        <w:rPr>
          <w:rFonts w:asciiTheme="majorBidi" w:hAnsiTheme="majorBidi" w:cs="Times New Roman"/>
        </w:rPr>
        <w:t xml:space="preserve"> </w:t>
      </w:r>
      <w:r w:rsidRPr="00D12CE4">
        <w:rPr>
          <w:rFonts w:asciiTheme="majorBidi" w:hAnsiTheme="majorBidi" w:cs="Times New Roman"/>
        </w:rPr>
        <w:fldChar w:fldCharType="begin"/>
      </w:r>
      <w:r w:rsidRPr="00D12CE4">
        <w:rPr>
          <w:rFonts w:asciiTheme="majorBidi" w:hAnsiTheme="majorBidi" w:cs="Times New Roman"/>
        </w:rPr>
        <w:instrText xml:space="preserve"> ADDIN ZOTERO_ITEM CSL_CITATION {"citationID":"yu08WiVK","properties":{"formattedCitation":"kemdikbud, \\uc0\\u8220{}Kamus Besar Bahasa Indonesia (KBBI) Daring,\\uc0\\u8221{} 2021, https://kbbi.kemdikbud.go.id/entri/radikalisme.","plainCitation":"kemdikbud, “Kamus Besar Bahasa Indonesia (KBBI) Daring,” 2021, https://kbbi.kemdikbud.go.id/entri/radikalisme.","noteIndex":25},"citationItems":[{"id":76,"uris":["http://zotero.org/users/local/7ME6pr6f/items/TNA448TV"],"uri":["http://zotero.org/users/local/7ME6pr6f/items/TNA448TV"],"itemData":{"id":76,"type":"webpage","title":"Kamus Besar Bahasa Indonesia (KBBI) Daring","URL":"https://kbbi.kemdikbud.go.id/entri/radikalisme","author":[{"family":"kemdikbud","given":""}],"accessed":{"date-parts":[["2021",6,10]]},"issued":{"date-parts":[["2021"]]}}}],"schema":"https://github.com/citation-style-language/schema/raw/master/csl-citation.json"} </w:instrText>
      </w:r>
      <w:r w:rsidRPr="00D12CE4">
        <w:rPr>
          <w:rFonts w:asciiTheme="majorBidi" w:hAnsiTheme="majorBidi" w:cs="Times New Roman"/>
        </w:rPr>
        <w:fldChar w:fldCharType="separate"/>
      </w:r>
      <w:r w:rsidRPr="00D12CE4">
        <w:rPr>
          <w:rFonts w:asciiTheme="majorBidi" w:hAnsiTheme="majorBidi" w:cs="Times New Roman"/>
          <w:szCs w:val="24"/>
        </w:rPr>
        <w:t>kemdikbud, “Kamus Besar Bahasa Indonesia (KBBI) Daring,” 2021, https://kbbi.kemdikbud.go.id/entri/radikalisme.</w:t>
      </w:r>
      <w:r w:rsidRPr="00D12CE4">
        <w:rPr>
          <w:rFonts w:asciiTheme="majorBidi" w:hAnsiTheme="majorBidi" w:cs="Times New Roman"/>
        </w:rPr>
        <w:fldChar w:fldCharType="end"/>
      </w:r>
    </w:p>
  </w:footnote>
  <w:footnote w:id="20">
    <w:p w14:paraId="5523D7DB" w14:textId="77777777" w:rsidR="00754C61" w:rsidRDefault="00754C61" w:rsidP="00754C61">
      <w:pPr>
        <w:pStyle w:val="FootnoteText"/>
        <w:ind w:firstLine="720"/>
        <w:jc w:val="both"/>
      </w:pPr>
      <w:r w:rsidRPr="0091355A">
        <w:rPr>
          <w:rStyle w:val="FootnoteReference"/>
          <w:rFonts w:asciiTheme="majorBidi" w:hAnsiTheme="majorBidi"/>
        </w:rPr>
        <w:footnoteRef/>
      </w:r>
      <w:r w:rsidRPr="0091355A">
        <w:rPr>
          <w:rFonts w:asciiTheme="majorBidi" w:hAnsiTheme="majorBidi" w:cs="Times New Roman"/>
        </w:rPr>
        <w:t xml:space="preserve"> </w:t>
      </w:r>
      <w:r w:rsidRPr="0091355A">
        <w:rPr>
          <w:rFonts w:asciiTheme="majorBidi" w:hAnsiTheme="majorBidi" w:cs="Times New Roman"/>
        </w:rPr>
        <w:fldChar w:fldCharType="begin"/>
      </w:r>
      <w:r w:rsidRPr="0091355A">
        <w:rPr>
          <w:rFonts w:asciiTheme="majorBidi" w:hAnsiTheme="majorBidi" w:cs="Times New Roman"/>
        </w:rPr>
        <w:instrText xml:space="preserve"> ADDIN ZOTERO_ITEM CSL_CITATION {"citationID":"9ypkUKfZ","properties":{"custom":"Ahmad Asrori, \\uc0\\u8220{}Radikalisme Di Indonesia\\uc0\\u8239{}: Antara Historisitas Dan Antropisitas,\\uc0\\u8221{} {\\i{}Kalam: Jurnal Studi Agama Dan Pemikiran Islam,} Vol. 9, No. 2, (2015), hal. 267.","formattedCitation":"Ahmad Asrori, \\uc0\\u8220{}Radikalisme Di Indonesia\\uc0\\u8239{}: Antara Historisitas Dan Antropisitas,\\uc0\\u8221{} {\\i{}Kalam: Jurnal Studi Agama Dan Pemikiran Islam,} Vol. 9, No. 2, (2015), hal. 267.","plainCitation":"Ahmad Asrori, “Radikalisme Di Indonesia : Antara Historisitas Dan Antropisitas,” Kalam: Jurnal Studi Agama Dan Pemikiran Islam, Vol. 9, No. 2, (2015), hal. 267.","noteIndex":26},"citationItems":[{"id":77,"uris":["http://zotero.org/users/local/7ME6pr6f/items/4B5C396E"],"uri":["http://zotero.org/users/local/7ME6pr6f/items/4B5C396E"],"itemData":{"id":77,"type":"article-journal","container-title":"Kalam: Jurnal Studi Agama dan Pemikiran Islam","issue":"2","page":"253-268","title":"Radikalisme di Indonesia : Antara Historisitas dan Antropisitas","volume":"Vol. 9","author":[{"family":"Asrori","given":"Ahmad"}],"issued":{"date-parts":[["2015"]]}},"locator":"hal. 267","label":"page"}],"schema":"https://github.com/citation-style-language/schema/raw/master/csl-citation.json"} </w:instrText>
      </w:r>
      <w:r w:rsidRPr="0091355A">
        <w:rPr>
          <w:rFonts w:asciiTheme="majorBidi" w:hAnsiTheme="majorBidi" w:cs="Times New Roman"/>
        </w:rPr>
        <w:fldChar w:fldCharType="separate"/>
      </w:r>
      <w:r w:rsidRPr="0091355A">
        <w:rPr>
          <w:rFonts w:asciiTheme="majorBidi" w:hAnsiTheme="majorBidi" w:cs="Times New Roman"/>
          <w:szCs w:val="24"/>
        </w:rPr>
        <w:t xml:space="preserve">Ahmad Asrori, “Radikalisme Di </w:t>
      </w:r>
      <w:proofErr w:type="gramStart"/>
      <w:r w:rsidRPr="0091355A">
        <w:rPr>
          <w:rFonts w:asciiTheme="majorBidi" w:hAnsiTheme="majorBidi" w:cs="Times New Roman"/>
          <w:szCs w:val="24"/>
        </w:rPr>
        <w:t>Indonesia :</w:t>
      </w:r>
      <w:proofErr w:type="gramEnd"/>
      <w:r w:rsidRPr="0091355A">
        <w:rPr>
          <w:rFonts w:asciiTheme="majorBidi" w:hAnsiTheme="majorBidi" w:cs="Times New Roman"/>
          <w:szCs w:val="24"/>
        </w:rPr>
        <w:t xml:space="preserve"> Antara Historisitas Dan Antropisitas,” </w:t>
      </w:r>
      <w:r w:rsidRPr="0091355A">
        <w:rPr>
          <w:rFonts w:asciiTheme="majorBidi" w:hAnsiTheme="majorBidi" w:cs="Times New Roman"/>
          <w:i/>
          <w:iCs/>
          <w:szCs w:val="24"/>
        </w:rPr>
        <w:t>Kalam: Jurnal Studi Agama Dan Pemikiran Islam,</w:t>
      </w:r>
      <w:r w:rsidRPr="0091355A">
        <w:rPr>
          <w:rFonts w:asciiTheme="majorBidi" w:hAnsiTheme="majorBidi" w:cs="Times New Roman"/>
          <w:szCs w:val="24"/>
        </w:rPr>
        <w:t xml:space="preserve"> Vol. 9, No. 2, (2015), hal. 267.</w:t>
      </w:r>
      <w:r w:rsidRPr="0091355A">
        <w:rPr>
          <w:rFonts w:asciiTheme="majorBidi" w:hAnsiTheme="majorBidi" w:cs="Times New Roman"/>
        </w:rPr>
        <w:fldChar w:fldCharType="end"/>
      </w:r>
    </w:p>
  </w:footnote>
  <w:footnote w:id="21">
    <w:p w14:paraId="5B1CD7B4" w14:textId="77777777" w:rsidR="00754C61" w:rsidRDefault="00754C61" w:rsidP="00754C61">
      <w:pPr>
        <w:pStyle w:val="FootnoteText"/>
        <w:ind w:firstLine="720"/>
        <w:jc w:val="both"/>
      </w:pPr>
      <w:r w:rsidRPr="00A75B43">
        <w:rPr>
          <w:rStyle w:val="FootnoteReference"/>
          <w:rFonts w:asciiTheme="majorBidi" w:hAnsiTheme="majorBidi"/>
        </w:rPr>
        <w:footnoteRef/>
      </w:r>
      <w:r w:rsidRPr="00A75B43">
        <w:rPr>
          <w:rFonts w:asciiTheme="majorBidi" w:hAnsiTheme="majorBidi" w:cs="Times New Roman"/>
        </w:rPr>
        <w:t xml:space="preserve"> </w:t>
      </w:r>
      <w:r w:rsidRPr="00A75B43">
        <w:rPr>
          <w:rFonts w:asciiTheme="majorBidi" w:hAnsiTheme="majorBidi" w:cs="Times New Roman"/>
        </w:rPr>
        <w:fldChar w:fldCharType="begin"/>
      </w:r>
      <w:r w:rsidRPr="00A75B43">
        <w:rPr>
          <w:rFonts w:asciiTheme="majorBidi" w:hAnsiTheme="majorBidi" w:cs="Times New Roman"/>
        </w:rPr>
        <w:instrText xml:space="preserve"> ADDIN ZOTERO_ITEM CSL_CITATION {"citationID":"0GNTNA15","properties":{"custom":"Irwan Masduqi, \\uc0\\u8220{}Deradikalisasi Pendidikan Islam Berbasis Khazanah Pesantren,\\uc0\\u8221{} {\\i{}Jurnal Pendidikan Islam,} Vol. 2, No. 1, (2013),hal. 4.","formattedCitation":"Irwan Masduqi, \\uc0\\u8220{}Deradikalisasi Pendidikan Islam Berbasis Khazanah Pesantren,\\uc0\\u8221{} {\\i{}Jurnal Pendidikan Islam,} Vol. 2, No. 1, (2013),hal. 4.","plainCitation":"Irwan Masduqi, “Deradikalisasi Pendidikan Islam Berbasis Khazanah Pesantren,” Jurnal Pendidikan Islam, Vol. 2, No. 1, (2013),hal. 4.","noteIndex":27},"citationItems":[{"id":59,"uris":["http://zotero.org/users/local/7ME6pr6f/items/PK6Q7Z6S"],"uri":["http://zotero.org/users/local/7ME6pr6f/items/PK6Q7Z6S"],"itemData":{"id":59,"type":"article-journal","container-title":"Jurnal Pendidikan Islam","issue":"1","page":"1-20","title":"Deradikalisasi Pendidikan Islam Berbasis Khazanah Pesantren","volume":"Vol. 2","author":[{"family":"Masduqi","given":"Irwan"}],"issued":{"date-parts":[["2013"]]}},"locator":"hal. 4","label":"page"}],"schema":"https://github.com/citation-style-language/schema/raw/master/csl-citation.json"} </w:instrText>
      </w:r>
      <w:r w:rsidRPr="00A75B43">
        <w:rPr>
          <w:rFonts w:asciiTheme="majorBidi" w:hAnsiTheme="majorBidi" w:cs="Times New Roman"/>
        </w:rPr>
        <w:fldChar w:fldCharType="separate"/>
      </w:r>
      <w:r w:rsidRPr="00A75B43">
        <w:rPr>
          <w:rFonts w:asciiTheme="majorBidi" w:hAnsiTheme="majorBidi" w:cs="Times New Roman"/>
          <w:szCs w:val="24"/>
        </w:rPr>
        <w:t xml:space="preserve">Irwan Masduqi, “Deradikalisasi Pendidikan Islam Berbasis Khazanah Pesantren,” </w:t>
      </w:r>
      <w:r w:rsidRPr="00A75B43">
        <w:rPr>
          <w:rFonts w:asciiTheme="majorBidi" w:hAnsiTheme="majorBidi" w:cs="Times New Roman"/>
          <w:i/>
          <w:iCs/>
          <w:szCs w:val="24"/>
        </w:rPr>
        <w:t>Jurnal Pendidikan Islam,</w:t>
      </w:r>
      <w:r w:rsidRPr="00A75B43">
        <w:rPr>
          <w:rFonts w:asciiTheme="majorBidi" w:hAnsiTheme="majorBidi" w:cs="Times New Roman"/>
          <w:szCs w:val="24"/>
        </w:rPr>
        <w:t xml:space="preserve"> Vol. 2, No. 1, (2013</w:t>
      </w:r>
      <w:proofErr w:type="gramStart"/>
      <w:r w:rsidRPr="00A75B43">
        <w:rPr>
          <w:rFonts w:asciiTheme="majorBidi" w:hAnsiTheme="majorBidi" w:cs="Times New Roman"/>
          <w:szCs w:val="24"/>
        </w:rPr>
        <w:t>),hal</w:t>
      </w:r>
      <w:proofErr w:type="gramEnd"/>
      <w:r w:rsidRPr="00A75B43">
        <w:rPr>
          <w:rFonts w:asciiTheme="majorBidi" w:hAnsiTheme="majorBidi" w:cs="Times New Roman"/>
          <w:szCs w:val="24"/>
        </w:rPr>
        <w:t>. 4.</w:t>
      </w:r>
      <w:r w:rsidRPr="00A75B43">
        <w:rPr>
          <w:rFonts w:asciiTheme="majorBidi" w:hAnsiTheme="majorBidi" w:cs="Times New Roman"/>
        </w:rPr>
        <w:fldChar w:fldCharType="end"/>
      </w:r>
    </w:p>
  </w:footnote>
  <w:footnote w:id="22">
    <w:p w14:paraId="7C8C0AD9" w14:textId="77777777" w:rsidR="00754C61" w:rsidRDefault="00754C61" w:rsidP="00754C61">
      <w:pPr>
        <w:pStyle w:val="FootnoteText"/>
        <w:ind w:firstLine="720"/>
        <w:jc w:val="both"/>
      </w:pPr>
      <w:r w:rsidRPr="00A832BA">
        <w:rPr>
          <w:rStyle w:val="FootnoteReference"/>
          <w:rFonts w:asciiTheme="majorBidi" w:hAnsiTheme="majorBidi"/>
        </w:rPr>
        <w:footnoteRef/>
      </w:r>
      <w:r w:rsidRPr="00A832BA">
        <w:rPr>
          <w:rFonts w:asciiTheme="majorBidi" w:hAnsiTheme="majorBidi" w:cs="Times New Roman"/>
        </w:rPr>
        <w:t xml:space="preserve"> </w:t>
      </w:r>
      <w:r w:rsidRPr="00A832BA">
        <w:rPr>
          <w:rFonts w:asciiTheme="majorBidi" w:hAnsiTheme="majorBidi" w:cs="Times New Roman"/>
        </w:rPr>
        <w:fldChar w:fldCharType="begin"/>
      </w:r>
      <w:r w:rsidRPr="00A832BA">
        <w:rPr>
          <w:rFonts w:asciiTheme="majorBidi" w:hAnsiTheme="majorBidi" w:cs="Times New Roman"/>
        </w:rPr>
        <w:instrText xml:space="preserve"> ADDIN ZOTERO_ITEM CSL_CITATION {"citationID":"jjbAQrSV","properties":{"custom":"Atu Karomah, \\uc0\\u8220{}Faktor-Faktor Kemunculan Gerakan Radikal Dalam Islam,\\uc0\\u8221{} {\\i{}Jurnal Al-Shifa,} Vol. 3, No. 2,(2012), hal. 253.","formattedCitation":"Atu Karomah, \\uc0\\u8220{}Faktor-Faktor Kemunculan Gerakan Radikal Dalam Islam,\\uc0\\u8221{} {\\i{}Jurnal Al-Shifa,} Vol. 3, No. 2,(2012), hal. 253.","plainCitation":"Atu Karomah, “Faktor-Faktor Kemunculan Gerakan Radikal Dalam Islam,” Jurnal Al-Shifa, Vol. 3, No. 2,(2012), hal. 253.","noteIndex":28},"citationItems":[{"id":79,"uris":["http://zotero.org/users/local/7ME6pr6f/items/I8W7VSXY"],"uri":["http://zotero.org/users/local/7ME6pr6f/items/I8W7VSXY"],"itemData":{"id":79,"type":"article-journal","container-title":"Jurnal al-Shifa","issue":"2","page":"249-280","title":"Faktor-Faktor Kemunculan Gerakan Radikal dalam Islam","volume":"Vol. 3","author":[{"family":"Karomah","given":"Atu"}],"issued":{"date-parts":[["2012"]]}},"locator":"hal. 253","label":"page"}],"schema":"https://github.com/citation-style-language/schema/raw/master/csl-citation.json"} </w:instrText>
      </w:r>
      <w:r w:rsidRPr="00A832BA">
        <w:rPr>
          <w:rFonts w:asciiTheme="majorBidi" w:hAnsiTheme="majorBidi" w:cs="Times New Roman"/>
        </w:rPr>
        <w:fldChar w:fldCharType="separate"/>
      </w:r>
      <w:r w:rsidRPr="00A832BA">
        <w:rPr>
          <w:rFonts w:asciiTheme="majorBidi" w:hAnsiTheme="majorBidi" w:cs="Times New Roman"/>
          <w:szCs w:val="24"/>
        </w:rPr>
        <w:t xml:space="preserve">Atu Karomah, “Faktor-Faktor Kemunculan Gerakan Radikal Dalam Islam,” </w:t>
      </w:r>
      <w:r w:rsidRPr="00A832BA">
        <w:rPr>
          <w:rFonts w:asciiTheme="majorBidi" w:hAnsiTheme="majorBidi" w:cs="Times New Roman"/>
          <w:i/>
          <w:iCs/>
          <w:szCs w:val="24"/>
        </w:rPr>
        <w:t>Jurnal Al-Shifa,</w:t>
      </w:r>
      <w:r w:rsidRPr="00A832BA">
        <w:rPr>
          <w:rFonts w:asciiTheme="majorBidi" w:hAnsiTheme="majorBidi" w:cs="Times New Roman"/>
          <w:szCs w:val="24"/>
        </w:rPr>
        <w:t xml:space="preserve"> Vol. 3, No. </w:t>
      </w:r>
      <w:proofErr w:type="gramStart"/>
      <w:r w:rsidRPr="00A832BA">
        <w:rPr>
          <w:rFonts w:asciiTheme="majorBidi" w:hAnsiTheme="majorBidi" w:cs="Times New Roman"/>
          <w:szCs w:val="24"/>
        </w:rPr>
        <w:t>2,(</w:t>
      </w:r>
      <w:proofErr w:type="gramEnd"/>
      <w:r w:rsidRPr="00A832BA">
        <w:rPr>
          <w:rFonts w:asciiTheme="majorBidi" w:hAnsiTheme="majorBidi" w:cs="Times New Roman"/>
          <w:szCs w:val="24"/>
        </w:rPr>
        <w:t>2012), hal. 253.</w:t>
      </w:r>
      <w:r w:rsidRPr="00A832BA">
        <w:rPr>
          <w:rFonts w:asciiTheme="majorBidi" w:hAnsiTheme="majorBidi" w:cs="Times New Roman"/>
        </w:rPr>
        <w:fldChar w:fldCharType="end"/>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1B1A7" w14:textId="62AE36CE" w:rsidR="00754C61" w:rsidRDefault="00754C61">
    <w:pPr>
      <w:pStyle w:val="Header"/>
    </w:pPr>
    <w:r>
      <w:rPr>
        <w:noProof/>
      </w:rPr>
      <w:pict w14:anchorId="50796C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396.7pt;height:561pt;z-index:-251657216;mso-position-horizontal:center;mso-position-horizontal-relative:margin;mso-position-vertical:center;mso-position-vertical-relative:margin" o:allowincell="f">
          <v:imagedata r:id="rId1" o:title="5_6179100351321343697_page-0001"/>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BFF3" w14:textId="5D3DB725" w:rsidR="00754C61" w:rsidRDefault="00754C61">
    <w:pPr>
      <w:pStyle w:val="Header"/>
    </w:pPr>
    <w:r>
      <w:rPr>
        <w:noProof/>
      </w:rPr>
      <w:pict w14:anchorId="23A7DE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396.7pt;height:561pt;z-index:-251656192;mso-position-horizontal:center;mso-position-horizontal-relative:margin;mso-position-vertical:center;mso-position-vertical-relative:margin" o:allowincell="f">
          <v:imagedata r:id="rId1" o:title="5_6179100351321343697_page-0001"/>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43C38" w14:textId="4C5E128F" w:rsidR="00754C61" w:rsidRDefault="00754C61">
    <w:pPr>
      <w:pStyle w:val="Header"/>
    </w:pPr>
    <w:r>
      <w:rPr>
        <w:noProof/>
      </w:rPr>
      <w:pict w14:anchorId="4FFAC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396.7pt;height:561pt;z-index:-251658240;mso-position-horizontal:center;mso-position-horizontal-relative:margin;mso-position-vertical:center;mso-position-vertical-relative:margin" o:allowincell="f">
          <v:imagedata r:id="rId1" o:title="5_6179100351321343697_page-0001"/>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80AAE0" w14:textId="4028146A" w:rsidR="00754C61" w:rsidRDefault="00754C61">
    <w:pPr>
      <w:pStyle w:val="Header"/>
    </w:pPr>
    <w:r>
      <w:rPr>
        <w:noProof/>
      </w:rPr>
      <w:pict w14:anchorId="5CA3F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396.7pt;height:561pt;z-index:-251654144;mso-position-horizontal:center;mso-position-horizontal-relative:margin;mso-position-vertical:center;mso-position-vertical-relative:margin" o:allowincell="f">
          <v:imagedata r:id="rId1" o:title="5_6179100351321343697_page-0001"/>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E8D2" w14:textId="18BFC9B7" w:rsidR="003F09CB" w:rsidRDefault="00754C61">
    <w:pPr>
      <w:pStyle w:val="Header"/>
      <w:jc w:val="right"/>
    </w:pPr>
    <w:r>
      <w:rPr>
        <w:noProof/>
      </w:rPr>
      <w:pict w14:anchorId="10AA2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396.7pt;height:561pt;z-index:-251653120;mso-position-horizontal:center;mso-position-horizontal-relative:margin;mso-position-vertical:center;mso-position-vertical-relative:margin" o:allowincell="f">
          <v:imagedata r:id="rId1" o:title="5_6179100351321343697_page-0001"/>
        </v:shape>
      </w:pict>
    </w:r>
    <w:r w:rsidR="00DE755E">
      <w:fldChar w:fldCharType="begin"/>
    </w:r>
    <w:r w:rsidR="00DE755E">
      <w:instrText xml:space="preserve"> PAGE   \* MERGEFORMAT </w:instrText>
    </w:r>
    <w:r w:rsidR="00DE755E">
      <w:fldChar w:fldCharType="separate"/>
    </w:r>
    <w:r w:rsidR="00DE755E">
      <w:rPr>
        <w:noProof/>
      </w:rPr>
      <w:t>2</w:t>
    </w:r>
    <w:r w:rsidR="00DE755E">
      <w:fldChar w:fldCharType="end"/>
    </w:r>
  </w:p>
  <w:p w14:paraId="5D8CABE2" w14:textId="77777777" w:rsidR="003F09CB" w:rsidRDefault="00DE755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F6CE94" w14:textId="0B5FC721" w:rsidR="00754C61" w:rsidRDefault="00754C61">
    <w:pPr>
      <w:pStyle w:val="Header"/>
    </w:pPr>
    <w:r>
      <w:rPr>
        <w:noProof/>
      </w:rPr>
      <w:pict w14:anchorId="7466FB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396.7pt;height:561pt;z-index:-251655168;mso-position-horizontal:center;mso-position-horizontal-relative:margin;mso-position-vertical:center;mso-position-vertical-relative:margin" o:allowincell="f">
          <v:imagedata r:id="rId1" o:title="5_6179100351321343697_page-000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05D0D"/>
    <w:multiLevelType w:val="hybridMultilevel"/>
    <w:tmpl w:val="31029ADC"/>
    <w:lvl w:ilvl="0" w:tplc="38090019">
      <w:start w:val="1"/>
      <w:numFmt w:val="lowerLetter"/>
      <w:lvlText w:val="%1."/>
      <w:lvlJc w:val="left"/>
      <w:pPr>
        <w:ind w:left="1080" w:hanging="360"/>
      </w:pPr>
      <w:rPr>
        <w:rFonts w:cs="Times New Roman"/>
      </w:rPr>
    </w:lvl>
    <w:lvl w:ilvl="1" w:tplc="38090019" w:tentative="1">
      <w:start w:val="1"/>
      <w:numFmt w:val="lowerLetter"/>
      <w:lvlText w:val="%2."/>
      <w:lvlJc w:val="left"/>
      <w:pPr>
        <w:ind w:left="1800" w:hanging="360"/>
      </w:pPr>
      <w:rPr>
        <w:rFonts w:cs="Times New Roman"/>
      </w:rPr>
    </w:lvl>
    <w:lvl w:ilvl="2" w:tplc="3809001B" w:tentative="1">
      <w:start w:val="1"/>
      <w:numFmt w:val="lowerRoman"/>
      <w:lvlText w:val="%3."/>
      <w:lvlJc w:val="right"/>
      <w:pPr>
        <w:ind w:left="2520" w:hanging="180"/>
      </w:pPr>
      <w:rPr>
        <w:rFonts w:cs="Times New Roman"/>
      </w:rPr>
    </w:lvl>
    <w:lvl w:ilvl="3" w:tplc="3809000F" w:tentative="1">
      <w:start w:val="1"/>
      <w:numFmt w:val="decimal"/>
      <w:lvlText w:val="%4."/>
      <w:lvlJc w:val="left"/>
      <w:pPr>
        <w:ind w:left="3240" w:hanging="360"/>
      </w:pPr>
      <w:rPr>
        <w:rFonts w:cs="Times New Roman"/>
      </w:rPr>
    </w:lvl>
    <w:lvl w:ilvl="4" w:tplc="38090019" w:tentative="1">
      <w:start w:val="1"/>
      <w:numFmt w:val="lowerLetter"/>
      <w:lvlText w:val="%5."/>
      <w:lvlJc w:val="left"/>
      <w:pPr>
        <w:ind w:left="3960" w:hanging="360"/>
      </w:pPr>
      <w:rPr>
        <w:rFonts w:cs="Times New Roman"/>
      </w:rPr>
    </w:lvl>
    <w:lvl w:ilvl="5" w:tplc="3809001B" w:tentative="1">
      <w:start w:val="1"/>
      <w:numFmt w:val="lowerRoman"/>
      <w:lvlText w:val="%6."/>
      <w:lvlJc w:val="right"/>
      <w:pPr>
        <w:ind w:left="4680" w:hanging="180"/>
      </w:pPr>
      <w:rPr>
        <w:rFonts w:cs="Times New Roman"/>
      </w:rPr>
    </w:lvl>
    <w:lvl w:ilvl="6" w:tplc="3809000F" w:tentative="1">
      <w:start w:val="1"/>
      <w:numFmt w:val="decimal"/>
      <w:lvlText w:val="%7."/>
      <w:lvlJc w:val="left"/>
      <w:pPr>
        <w:ind w:left="5400" w:hanging="360"/>
      </w:pPr>
      <w:rPr>
        <w:rFonts w:cs="Times New Roman"/>
      </w:rPr>
    </w:lvl>
    <w:lvl w:ilvl="7" w:tplc="38090019" w:tentative="1">
      <w:start w:val="1"/>
      <w:numFmt w:val="lowerLetter"/>
      <w:lvlText w:val="%8."/>
      <w:lvlJc w:val="left"/>
      <w:pPr>
        <w:ind w:left="6120" w:hanging="360"/>
      </w:pPr>
      <w:rPr>
        <w:rFonts w:cs="Times New Roman"/>
      </w:rPr>
    </w:lvl>
    <w:lvl w:ilvl="8" w:tplc="3809001B" w:tentative="1">
      <w:start w:val="1"/>
      <w:numFmt w:val="lowerRoman"/>
      <w:lvlText w:val="%9."/>
      <w:lvlJc w:val="right"/>
      <w:pPr>
        <w:ind w:left="6840" w:hanging="180"/>
      </w:pPr>
      <w:rPr>
        <w:rFonts w:cs="Times New Roman"/>
      </w:rPr>
    </w:lvl>
  </w:abstractNum>
  <w:abstractNum w:abstractNumId="1" w15:restartNumberingAfterBreak="0">
    <w:nsid w:val="52DE5688"/>
    <w:multiLevelType w:val="hybridMultilevel"/>
    <w:tmpl w:val="11C64638"/>
    <w:lvl w:ilvl="0" w:tplc="B2F4BCD0">
      <w:start w:val="1"/>
      <w:numFmt w:val="decimal"/>
      <w:lvlText w:val="%1."/>
      <w:lvlJc w:val="left"/>
      <w:pPr>
        <w:ind w:left="786" w:hanging="360"/>
      </w:pPr>
      <w:rPr>
        <w:rFonts w:cs="Times New Roman" w:hint="default"/>
      </w:rPr>
    </w:lvl>
    <w:lvl w:ilvl="1" w:tplc="38090019" w:tentative="1">
      <w:start w:val="1"/>
      <w:numFmt w:val="lowerLetter"/>
      <w:lvlText w:val="%2."/>
      <w:lvlJc w:val="left"/>
      <w:pPr>
        <w:ind w:left="1506" w:hanging="360"/>
      </w:pPr>
      <w:rPr>
        <w:rFonts w:cs="Times New Roman"/>
      </w:rPr>
    </w:lvl>
    <w:lvl w:ilvl="2" w:tplc="3809001B" w:tentative="1">
      <w:start w:val="1"/>
      <w:numFmt w:val="lowerRoman"/>
      <w:lvlText w:val="%3."/>
      <w:lvlJc w:val="right"/>
      <w:pPr>
        <w:ind w:left="2226" w:hanging="180"/>
      </w:pPr>
      <w:rPr>
        <w:rFonts w:cs="Times New Roman"/>
      </w:rPr>
    </w:lvl>
    <w:lvl w:ilvl="3" w:tplc="3809000F" w:tentative="1">
      <w:start w:val="1"/>
      <w:numFmt w:val="decimal"/>
      <w:lvlText w:val="%4."/>
      <w:lvlJc w:val="left"/>
      <w:pPr>
        <w:ind w:left="2946" w:hanging="360"/>
      </w:pPr>
      <w:rPr>
        <w:rFonts w:cs="Times New Roman"/>
      </w:rPr>
    </w:lvl>
    <w:lvl w:ilvl="4" w:tplc="38090019" w:tentative="1">
      <w:start w:val="1"/>
      <w:numFmt w:val="lowerLetter"/>
      <w:lvlText w:val="%5."/>
      <w:lvlJc w:val="left"/>
      <w:pPr>
        <w:ind w:left="3666" w:hanging="360"/>
      </w:pPr>
      <w:rPr>
        <w:rFonts w:cs="Times New Roman"/>
      </w:rPr>
    </w:lvl>
    <w:lvl w:ilvl="5" w:tplc="3809001B" w:tentative="1">
      <w:start w:val="1"/>
      <w:numFmt w:val="lowerRoman"/>
      <w:lvlText w:val="%6."/>
      <w:lvlJc w:val="right"/>
      <w:pPr>
        <w:ind w:left="4386" w:hanging="180"/>
      </w:pPr>
      <w:rPr>
        <w:rFonts w:cs="Times New Roman"/>
      </w:rPr>
    </w:lvl>
    <w:lvl w:ilvl="6" w:tplc="3809000F" w:tentative="1">
      <w:start w:val="1"/>
      <w:numFmt w:val="decimal"/>
      <w:lvlText w:val="%7."/>
      <w:lvlJc w:val="left"/>
      <w:pPr>
        <w:ind w:left="5106" w:hanging="360"/>
      </w:pPr>
      <w:rPr>
        <w:rFonts w:cs="Times New Roman"/>
      </w:rPr>
    </w:lvl>
    <w:lvl w:ilvl="7" w:tplc="38090019" w:tentative="1">
      <w:start w:val="1"/>
      <w:numFmt w:val="lowerLetter"/>
      <w:lvlText w:val="%8."/>
      <w:lvlJc w:val="left"/>
      <w:pPr>
        <w:ind w:left="5826" w:hanging="360"/>
      </w:pPr>
      <w:rPr>
        <w:rFonts w:cs="Times New Roman"/>
      </w:rPr>
    </w:lvl>
    <w:lvl w:ilvl="8" w:tplc="3809001B" w:tentative="1">
      <w:start w:val="1"/>
      <w:numFmt w:val="lowerRoman"/>
      <w:lvlText w:val="%9."/>
      <w:lvlJc w:val="right"/>
      <w:pPr>
        <w:ind w:left="6546" w:hanging="180"/>
      </w:pPr>
      <w:rPr>
        <w:rFonts w:cs="Times New Roman"/>
      </w:rPr>
    </w:lvl>
  </w:abstractNum>
  <w:abstractNum w:abstractNumId="2" w15:restartNumberingAfterBreak="0">
    <w:nsid w:val="5DCD3AA3"/>
    <w:multiLevelType w:val="hybridMultilevel"/>
    <w:tmpl w:val="D0282928"/>
    <w:lvl w:ilvl="0" w:tplc="38090019">
      <w:start w:val="1"/>
      <w:numFmt w:val="low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3" w15:restartNumberingAfterBreak="0">
    <w:nsid w:val="6DF5115E"/>
    <w:multiLevelType w:val="hybridMultilevel"/>
    <w:tmpl w:val="3C34FD50"/>
    <w:lvl w:ilvl="0" w:tplc="38090015">
      <w:start w:val="1"/>
      <w:numFmt w:val="upperLetter"/>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4" w15:restartNumberingAfterBreak="0">
    <w:nsid w:val="7275447B"/>
    <w:multiLevelType w:val="hybridMultilevel"/>
    <w:tmpl w:val="3F0AEF9A"/>
    <w:lvl w:ilvl="0" w:tplc="38090011">
      <w:start w:val="1"/>
      <w:numFmt w:val="decimal"/>
      <w:lvlText w:val="%1)"/>
      <w:lvlJc w:val="left"/>
      <w:pPr>
        <w:ind w:left="720" w:hanging="360"/>
      </w:pPr>
      <w:rPr>
        <w:rFonts w:cs="Times New Roman" w:hint="default"/>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5" w15:restartNumberingAfterBreak="0">
    <w:nsid w:val="72EB6C03"/>
    <w:multiLevelType w:val="hybridMultilevel"/>
    <w:tmpl w:val="4288DD0E"/>
    <w:lvl w:ilvl="0" w:tplc="F6FA5FC0">
      <w:start w:val="1"/>
      <w:numFmt w:val="decimal"/>
      <w:lvlText w:val="%1."/>
      <w:lvlJc w:val="left"/>
      <w:pPr>
        <w:ind w:left="720" w:hanging="360"/>
      </w:pPr>
      <w:rPr>
        <w:rFonts w:cs="Times New Roman" w:hint="default"/>
        <w:b/>
        <w:bCs/>
      </w:rPr>
    </w:lvl>
    <w:lvl w:ilvl="1" w:tplc="38090019" w:tentative="1">
      <w:start w:val="1"/>
      <w:numFmt w:val="lowerLetter"/>
      <w:lvlText w:val="%2."/>
      <w:lvlJc w:val="left"/>
      <w:pPr>
        <w:ind w:left="1440" w:hanging="360"/>
      </w:pPr>
      <w:rPr>
        <w:rFonts w:cs="Times New Roman"/>
      </w:rPr>
    </w:lvl>
    <w:lvl w:ilvl="2" w:tplc="3809001B" w:tentative="1">
      <w:start w:val="1"/>
      <w:numFmt w:val="lowerRoman"/>
      <w:lvlText w:val="%3."/>
      <w:lvlJc w:val="right"/>
      <w:pPr>
        <w:ind w:left="2160" w:hanging="180"/>
      </w:pPr>
      <w:rPr>
        <w:rFonts w:cs="Times New Roman"/>
      </w:rPr>
    </w:lvl>
    <w:lvl w:ilvl="3" w:tplc="3809000F" w:tentative="1">
      <w:start w:val="1"/>
      <w:numFmt w:val="decimal"/>
      <w:lvlText w:val="%4."/>
      <w:lvlJc w:val="left"/>
      <w:pPr>
        <w:ind w:left="2880" w:hanging="360"/>
      </w:pPr>
      <w:rPr>
        <w:rFonts w:cs="Times New Roman"/>
      </w:rPr>
    </w:lvl>
    <w:lvl w:ilvl="4" w:tplc="38090019" w:tentative="1">
      <w:start w:val="1"/>
      <w:numFmt w:val="lowerLetter"/>
      <w:lvlText w:val="%5."/>
      <w:lvlJc w:val="left"/>
      <w:pPr>
        <w:ind w:left="3600" w:hanging="360"/>
      </w:pPr>
      <w:rPr>
        <w:rFonts w:cs="Times New Roman"/>
      </w:rPr>
    </w:lvl>
    <w:lvl w:ilvl="5" w:tplc="3809001B" w:tentative="1">
      <w:start w:val="1"/>
      <w:numFmt w:val="lowerRoman"/>
      <w:lvlText w:val="%6."/>
      <w:lvlJc w:val="right"/>
      <w:pPr>
        <w:ind w:left="4320" w:hanging="180"/>
      </w:pPr>
      <w:rPr>
        <w:rFonts w:cs="Times New Roman"/>
      </w:rPr>
    </w:lvl>
    <w:lvl w:ilvl="6" w:tplc="3809000F" w:tentative="1">
      <w:start w:val="1"/>
      <w:numFmt w:val="decimal"/>
      <w:lvlText w:val="%7."/>
      <w:lvlJc w:val="left"/>
      <w:pPr>
        <w:ind w:left="5040" w:hanging="360"/>
      </w:pPr>
      <w:rPr>
        <w:rFonts w:cs="Times New Roman"/>
      </w:rPr>
    </w:lvl>
    <w:lvl w:ilvl="7" w:tplc="38090019" w:tentative="1">
      <w:start w:val="1"/>
      <w:numFmt w:val="lowerLetter"/>
      <w:lvlText w:val="%8."/>
      <w:lvlJc w:val="left"/>
      <w:pPr>
        <w:ind w:left="5760" w:hanging="360"/>
      </w:pPr>
      <w:rPr>
        <w:rFonts w:cs="Times New Roman"/>
      </w:rPr>
    </w:lvl>
    <w:lvl w:ilvl="8" w:tplc="3809001B" w:tentative="1">
      <w:start w:val="1"/>
      <w:numFmt w:val="lowerRoman"/>
      <w:lvlText w:val="%9."/>
      <w:lvlJc w:val="right"/>
      <w:pPr>
        <w:ind w:left="6480" w:hanging="180"/>
      </w:pPr>
      <w:rPr>
        <w:rFonts w:cs="Times New Roman"/>
      </w:rPr>
    </w:lvl>
  </w:abstractNum>
  <w:abstractNum w:abstractNumId="6" w15:restartNumberingAfterBreak="0">
    <w:nsid w:val="7C621C9B"/>
    <w:multiLevelType w:val="hybridMultilevel"/>
    <w:tmpl w:val="59E88178"/>
    <w:lvl w:ilvl="0" w:tplc="38090019">
      <w:start w:val="1"/>
      <w:numFmt w:val="lowerLetter"/>
      <w:lvlText w:val="%1."/>
      <w:lvlJc w:val="left"/>
      <w:pPr>
        <w:ind w:left="1146" w:hanging="360"/>
      </w:pPr>
      <w:rPr>
        <w:rFonts w:cs="Times New Roman"/>
      </w:rPr>
    </w:lvl>
    <w:lvl w:ilvl="1" w:tplc="38090019" w:tentative="1">
      <w:start w:val="1"/>
      <w:numFmt w:val="lowerLetter"/>
      <w:lvlText w:val="%2."/>
      <w:lvlJc w:val="left"/>
      <w:pPr>
        <w:ind w:left="1866" w:hanging="360"/>
      </w:pPr>
      <w:rPr>
        <w:rFonts w:cs="Times New Roman"/>
      </w:rPr>
    </w:lvl>
    <w:lvl w:ilvl="2" w:tplc="3809001B" w:tentative="1">
      <w:start w:val="1"/>
      <w:numFmt w:val="lowerRoman"/>
      <w:lvlText w:val="%3."/>
      <w:lvlJc w:val="right"/>
      <w:pPr>
        <w:ind w:left="2586" w:hanging="180"/>
      </w:pPr>
      <w:rPr>
        <w:rFonts w:cs="Times New Roman"/>
      </w:rPr>
    </w:lvl>
    <w:lvl w:ilvl="3" w:tplc="3809000F" w:tentative="1">
      <w:start w:val="1"/>
      <w:numFmt w:val="decimal"/>
      <w:lvlText w:val="%4."/>
      <w:lvlJc w:val="left"/>
      <w:pPr>
        <w:ind w:left="3306" w:hanging="360"/>
      </w:pPr>
      <w:rPr>
        <w:rFonts w:cs="Times New Roman"/>
      </w:rPr>
    </w:lvl>
    <w:lvl w:ilvl="4" w:tplc="38090019" w:tentative="1">
      <w:start w:val="1"/>
      <w:numFmt w:val="lowerLetter"/>
      <w:lvlText w:val="%5."/>
      <w:lvlJc w:val="left"/>
      <w:pPr>
        <w:ind w:left="4026" w:hanging="360"/>
      </w:pPr>
      <w:rPr>
        <w:rFonts w:cs="Times New Roman"/>
      </w:rPr>
    </w:lvl>
    <w:lvl w:ilvl="5" w:tplc="3809001B" w:tentative="1">
      <w:start w:val="1"/>
      <w:numFmt w:val="lowerRoman"/>
      <w:lvlText w:val="%6."/>
      <w:lvlJc w:val="right"/>
      <w:pPr>
        <w:ind w:left="4746" w:hanging="180"/>
      </w:pPr>
      <w:rPr>
        <w:rFonts w:cs="Times New Roman"/>
      </w:rPr>
    </w:lvl>
    <w:lvl w:ilvl="6" w:tplc="3809000F" w:tentative="1">
      <w:start w:val="1"/>
      <w:numFmt w:val="decimal"/>
      <w:lvlText w:val="%7."/>
      <w:lvlJc w:val="left"/>
      <w:pPr>
        <w:ind w:left="5466" w:hanging="360"/>
      </w:pPr>
      <w:rPr>
        <w:rFonts w:cs="Times New Roman"/>
      </w:rPr>
    </w:lvl>
    <w:lvl w:ilvl="7" w:tplc="38090019" w:tentative="1">
      <w:start w:val="1"/>
      <w:numFmt w:val="lowerLetter"/>
      <w:lvlText w:val="%8."/>
      <w:lvlJc w:val="left"/>
      <w:pPr>
        <w:ind w:left="6186" w:hanging="360"/>
      </w:pPr>
      <w:rPr>
        <w:rFonts w:cs="Times New Roman"/>
      </w:rPr>
    </w:lvl>
    <w:lvl w:ilvl="8" w:tplc="3809001B" w:tentative="1">
      <w:start w:val="1"/>
      <w:numFmt w:val="lowerRoman"/>
      <w:lvlText w:val="%9."/>
      <w:lvlJc w:val="right"/>
      <w:pPr>
        <w:ind w:left="6906" w:hanging="180"/>
      </w:pPr>
      <w:rPr>
        <w:rFonts w:cs="Times New Roman"/>
      </w:rPr>
    </w:lvl>
  </w:abstractNum>
  <w:num w:numId="1">
    <w:abstractNumId w:val="3"/>
  </w:num>
  <w:num w:numId="2">
    <w:abstractNumId w:val="4"/>
  </w:num>
  <w:num w:numId="3">
    <w:abstractNumId w:val="5"/>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C61"/>
    <w:rsid w:val="00754C61"/>
    <w:rsid w:val="00A72B30"/>
    <w:rsid w:val="00DE755E"/>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1599919"/>
  <w15:chartTrackingRefBased/>
  <w15:docId w15:val="{699C89ED-042C-4DEE-931A-EE2ABF2B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4C61"/>
    <w:rPr>
      <w:rFonts w:eastAsia="Times New Roman"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4C61"/>
    <w:pPr>
      <w:ind w:left="720"/>
      <w:contextualSpacing/>
    </w:pPr>
  </w:style>
  <w:style w:type="paragraph" w:styleId="FootnoteText">
    <w:name w:val="footnote text"/>
    <w:basedOn w:val="Normal"/>
    <w:link w:val="FootnoteTextChar"/>
    <w:uiPriority w:val="99"/>
    <w:semiHidden/>
    <w:unhideWhenUsed/>
    <w:rsid w:val="00754C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4C61"/>
    <w:rPr>
      <w:rFonts w:eastAsia="Times New Roman" w:cs="Arial"/>
      <w:sz w:val="20"/>
      <w:szCs w:val="20"/>
    </w:rPr>
  </w:style>
  <w:style w:type="character" w:styleId="FootnoteReference">
    <w:name w:val="footnote reference"/>
    <w:basedOn w:val="DefaultParagraphFont"/>
    <w:uiPriority w:val="99"/>
    <w:semiHidden/>
    <w:unhideWhenUsed/>
    <w:rsid w:val="00754C61"/>
    <w:rPr>
      <w:rFonts w:cs="Times New Roman"/>
      <w:vertAlign w:val="superscript"/>
    </w:rPr>
  </w:style>
  <w:style w:type="paragraph" w:styleId="Header">
    <w:name w:val="header"/>
    <w:basedOn w:val="Normal"/>
    <w:link w:val="HeaderChar"/>
    <w:uiPriority w:val="99"/>
    <w:unhideWhenUsed/>
    <w:rsid w:val="00754C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4C61"/>
    <w:rPr>
      <w:rFonts w:eastAsia="Times New Roman" w:cs="Arial"/>
    </w:rPr>
  </w:style>
  <w:style w:type="paragraph" w:styleId="Footer">
    <w:name w:val="footer"/>
    <w:basedOn w:val="Normal"/>
    <w:link w:val="FooterChar"/>
    <w:uiPriority w:val="99"/>
    <w:unhideWhenUsed/>
    <w:rsid w:val="00754C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4C61"/>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1915</Words>
  <Characters>10919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 </cp:lastModifiedBy>
  <cp:revision>1</cp:revision>
  <dcterms:created xsi:type="dcterms:W3CDTF">2022-08-20T14:49:00Z</dcterms:created>
  <dcterms:modified xsi:type="dcterms:W3CDTF">2022-08-20T14:50:00Z</dcterms:modified>
</cp:coreProperties>
</file>