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15" w:rsidRPr="00233090" w:rsidRDefault="00B96615" w:rsidP="00B96615">
      <w:pPr>
        <w:jc w:val="center"/>
        <w:rPr>
          <w:rFonts w:ascii="Times New Roman" w:hAnsi="Times New Roman"/>
          <w:b/>
          <w:sz w:val="24"/>
          <w:szCs w:val="24"/>
        </w:rPr>
      </w:pPr>
      <w:r w:rsidRPr="00233090">
        <w:rPr>
          <w:rFonts w:ascii="Times New Roman" w:hAnsi="Times New Roman"/>
          <w:b/>
          <w:sz w:val="24"/>
          <w:szCs w:val="24"/>
        </w:rPr>
        <w:t>BAB II</w:t>
      </w:r>
      <w:bookmarkStart w:id="0" w:name="_GoBack"/>
      <w:bookmarkEnd w:id="0"/>
    </w:p>
    <w:p w:rsidR="00B96615" w:rsidRDefault="00B96615" w:rsidP="00B96615">
      <w:pPr>
        <w:jc w:val="center"/>
        <w:rPr>
          <w:rFonts w:ascii="Times New Roman" w:hAnsi="Times New Roman"/>
          <w:b/>
          <w:sz w:val="24"/>
          <w:szCs w:val="24"/>
        </w:rPr>
      </w:pPr>
      <w:r w:rsidRPr="00233090">
        <w:rPr>
          <w:rFonts w:ascii="Times New Roman" w:hAnsi="Times New Roman"/>
          <w:b/>
          <w:sz w:val="24"/>
          <w:szCs w:val="24"/>
        </w:rPr>
        <w:t>KAJIAN TEORI</w:t>
      </w:r>
    </w:p>
    <w:p w:rsidR="00B96615" w:rsidRDefault="00B96615" w:rsidP="00B96615">
      <w:pPr>
        <w:jc w:val="center"/>
        <w:rPr>
          <w:rFonts w:ascii="Times New Roman" w:hAnsi="Times New Roman"/>
          <w:b/>
          <w:sz w:val="24"/>
          <w:szCs w:val="24"/>
        </w:rPr>
      </w:pPr>
    </w:p>
    <w:p w:rsidR="00B96615" w:rsidRPr="00233090" w:rsidRDefault="00B96615" w:rsidP="00B96615">
      <w:pPr>
        <w:pStyle w:val="ListParagraph"/>
        <w:numPr>
          <w:ilvl w:val="0"/>
          <w:numId w:val="1"/>
        </w:numPr>
        <w:spacing w:after="200" w:line="480" w:lineRule="auto"/>
        <w:ind w:left="426" w:hanging="426"/>
        <w:rPr>
          <w:rFonts w:ascii="Times New Arabic" w:hAnsi="Times New Arabic"/>
          <w:b/>
          <w:sz w:val="24"/>
          <w:szCs w:val="24"/>
        </w:rPr>
      </w:pPr>
      <w:r>
        <w:rPr>
          <w:rFonts w:ascii="Times New Roman" w:hAnsi="Times New Roman"/>
          <w:b/>
          <w:sz w:val="24"/>
          <w:szCs w:val="24"/>
        </w:rPr>
        <w:t xml:space="preserve">Metode </w:t>
      </w:r>
      <w:r w:rsidRPr="00233090">
        <w:rPr>
          <w:rFonts w:ascii="Times New Arabic" w:hAnsi="Times New Arabic"/>
          <w:b/>
          <w:i/>
          <w:sz w:val="24"/>
          <w:szCs w:val="24"/>
        </w:rPr>
        <w:t>fami&lt; bisyauqin</w:t>
      </w:r>
      <w:r>
        <w:rPr>
          <w:rFonts w:ascii="Times New Arabic" w:hAnsi="Times New Arabic"/>
          <w:b/>
          <w:i/>
          <w:sz w:val="24"/>
          <w:szCs w:val="24"/>
        </w:rPr>
        <w:t xml:space="preserve"> </w:t>
      </w:r>
    </w:p>
    <w:p w:rsidR="00B96615" w:rsidRPr="00F36CBC" w:rsidRDefault="00B96615" w:rsidP="00B96615">
      <w:pPr>
        <w:pStyle w:val="ListParagraph"/>
        <w:numPr>
          <w:ilvl w:val="0"/>
          <w:numId w:val="2"/>
        </w:numPr>
        <w:spacing w:after="200" w:line="480" w:lineRule="auto"/>
        <w:ind w:left="426" w:hanging="426"/>
        <w:rPr>
          <w:rFonts w:ascii="Times New Arabic" w:hAnsi="Times New Arabic"/>
          <w:b/>
          <w:sz w:val="24"/>
          <w:szCs w:val="24"/>
        </w:rPr>
      </w:pPr>
      <w:r>
        <w:rPr>
          <w:rFonts w:ascii="Times New Roman" w:hAnsi="Times New Roman"/>
          <w:b/>
          <w:sz w:val="24"/>
          <w:szCs w:val="24"/>
        </w:rPr>
        <w:t xml:space="preserve">Pengertian </w:t>
      </w:r>
      <w:r w:rsidRPr="00233090">
        <w:rPr>
          <w:rFonts w:ascii="Times New Arabic" w:hAnsi="Times New Arabic"/>
          <w:b/>
          <w:i/>
          <w:sz w:val="24"/>
          <w:szCs w:val="24"/>
        </w:rPr>
        <w:t>fami&lt; bisyauqin</w:t>
      </w:r>
    </w:p>
    <w:p w:rsidR="00B96615" w:rsidRDefault="00B96615" w:rsidP="00B96615">
      <w:pPr>
        <w:spacing w:line="480" w:lineRule="auto"/>
        <w:ind w:firstLine="720"/>
        <w:rPr>
          <w:rFonts w:ascii="Times New Arabic" w:hAnsi="Times New Arabic"/>
          <w:b/>
          <w:sz w:val="24"/>
          <w:szCs w:val="24"/>
        </w:rPr>
      </w:pPr>
      <w:r w:rsidRPr="00F36CBC">
        <w:rPr>
          <w:rFonts w:ascii="Times New Arabic" w:hAnsi="Times New Arabic"/>
          <w:i/>
          <w:sz w:val="24"/>
          <w:szCs w:val="24"/>
        </w:rPr>
        <w:t>Fami&gt; Bisyauqin</w:t>
      </w:r>
      <w:r w:rsidRPr="00F36CBC">
        <w:rPr>
          <w:rFonts w:asciiTheme="majorBidi" w:hAnsiTheme="majorBidi"/>
          <w:sz w:val="24"/>
          <w:szCs w:val="24"/>
        </w:rPr>
        <w:t xml:space="preserve"> adalah Membaca Al Qur’an sampai hatam selama 7 hari, yang mana pada setiap harinya membaca al-Qur’an disesuaikan dengan </w:t>
      </w:r>
      <w:r w:rsidRPr="00F36CBC">
        <w:rPr>
          <w:rFonts w:asciiTheme="majorBidi" w:hAnsiTheme="majorBidi"/>
          <w:i/>
          <w:iCs/>
          <w:sz w:val="24"/>
          <w:szCs w:val="24"/>
        </w:rPr>
        <w:t>manzilnya</w:t>
      </w:r>
      <w:r w:rsidRPr="00F36CBC">
        <w:rPr>
          <w:rFonts w:asciiTheme="majorBidi" w:hAnsiTheme="majorBidi"/>
          <w:sz w:val="24"/>
          <w:szCs w:val="24"/>
        </w:rPr>
        <w:t xml:space="preserve"> masing-masing, dan akan terus mengulang menghatamkan Al Qur’an selama 7 hari ini sampai mecapai puncak keberhasilan Fami Bisyauqin, yakni dapat membaca Al Qur’an secara keseluruhan tanpa teks.</w:t>
      </w:r>
    </w:p>
    <w:p w:rsidR="00B96615" w:rsidRDefault="00B96615" w:rsidP="00B96615">
      <w:pPr>
        <w:spacing w:line="480" w:lineRule="auto"/>
        <w:ind w:firstLine="720"/>
        <w:rPr>
          <w:rFonts w:ascii="Times New Arabic" w:hAnsi="Times New Arabic"/>
          <w:b/>
          <w:sz w:val="24"/>
          <w:szCs w:val="24"/>
        </w:rPr>
      </w:pPr>
      <w:r w:rsidRPr="00F36CBC">
        <w:rPr>
          <w:rFonts w:ascii="Times New Arabic" w:hAnsi="Times New Arabic"/>
          <w:i/>
          <w:sz w:val="24"/>
          <w:szCs w:val="24"/>
        </w:rPr>
        <w:t>Fami&gt; Bisyauqin</w:t>
      </w:r>
      <w:r w:rsidRPr="002D62AA">
        <w:rPr>
          <w:rFonts w:asciiTheme="majorBidi" w:hAnsiTheme="majorBidi"/>
          <w:bCs/>
          <w:sz w:val="24"/>
          <w:szCs w:val="24"/>
        </w:rPr>
        <w:t xml:space="preserve"> dalam ungkapan  bahasa arab secara harfiah artinya:” lisannya selalu dalam kerinduan “maksud dari ungkapan ini adalah kerinduan untuk selalu membaca dan menghafal Al Qur’an. </w:t>
      </w:r>
      <w:r w:rsidRPr="00F36CBC">
        <w:rPr>
          <w:rFonts w:asciiTheme="majorBidi" w:hAnsiTheme="majorBidi"/>
          <w:bCs/>
          <w:sz w:val="24"/>
          <w:szCs w:val="24"/>
          <w:lang w:val="en-ID"/>
        </w:rPr>
        <w:t xml:space="preserve">Sedangkan secara istilah </w:t>
      </w:r>
      <w:r w:rsidRPr="00F36CBC">
        <w:rPr>
          <w:rFonts w:ascii="Times New Arabic" w:hAnsi="Times New Arabic"/>
          <w:i/>
          <w:sz w:val="24"/>
          <w:szCs w:val="24"/>
        </w:rPr>
        <w:t>Fami&gt; Bisyauqin</w:t>
      </w:r>
      <w:r w:rsidRPr="00F36CBC">
        <w:rPr>
          <w:rFonts w:asciiTheme="majorBidi" w:hAnsiTheme="majorBidi"/>
          <w:bCs/>
          <w:sz w:val="24"/>
          <w:szCs w:val="24"/>
          <w:lang w:val="en-ID"/>
        </w:rPr>
        <w:t xml:space="preserve"> adalah suatu metode alternative dalam memelihara hafalan Al Qur’an berdasarkan </w:t>
      </w:r>
      <w:proofErr w:type="gramStart"/>
      <w:r w:rsidRPr="00F36CBC">
        <w:rPr>
          <w:rFonts w:asciiTheme="majorBidi" w:hAnsiTheme="majorBidi"/>
          <w:bCs/>
          <w:sz w:val="24"/>
          <w:szCs w:val="24"/>
          <w:lang w:val="en-ID"/>
        </w:rPr>
        <w:t>nama</w:t>
      </w:r>
      <w:proofErr w:type="gramEnd"/>
      <w:r w:rsidRPr="00F36CBC">
        <w:rPr>
          <w:rFonts w:asciiTheme="majorBidi" w:hAnsiTheme="majorBidi"/>
          <w:bCs/>
          <w:sz w:val="24"/>
          <w:szCs w:val="24"/>
          <w:lang w:val="en-ID"/>
        </w:rPr>
        <w:t xml:space="preserve"> surat sebagaimana terdapat dalam nama metode </w:t>
      </w:r>
      <w:r w:rsidRPr="00F36CBC">
        <w:rPr>
          <w:rFonts w:ascii="Times New Arabic" w:hAnsi="Times New Arabic"/>
          <w:i/>
          <w:sz w:val="24"/>
          <w:szCs w:val="24"/>
        </w:rPr>
        <w:t>Fami&gt; Bisyauqin</w:t>
      </w:r>
      <w:r w:rsidRPr="00F36CBC">
        <w:rPr>
          <w:rFonts w:asciiTheme="majorBidi" w:hAnsiTheme="majorBidi"/>
          <w:bCs/>
          <w:i/>
          <w:sz w:val="24"/>
          <w:szCs w:val="24"/>
          <w:lang w:val="en-ID"/>
        </w:rPr>
        <w:t>.</w:t>
      </w:r>
      <w:r>
        <w:rPr>
          <w:rStyle w:val="FootnoteReference"/>
          <w:rFonts w:asciiTheme="majorBidi" w:hAnsiTheme="majorBidi"/>
          <w:bCs/>
          <w:i/>
          <w:sz w:val="24"/>
          <w:szCs w:val="24"/>
          <w:lang w:val="en-ID"/>
        </w:rPr>
        <w:footnoteReference w:id="1"/>
      </w:r>
    </w:p>
    <w:p w:rsidR="00B96615" w:rsidRPr="00F36CBC" w:rsidRDefault="00B96615" w:rsidP="00B96615">
      <w:pPr>
        <w:spacing w:line="480" w:lineRule="auto"/>
        <w:ind w:firstLine="720"/>
        <w:rPr>
          <w:rFonts w:ascii="Times New Arabic" w:hAnsi="Times New Arabic"/>
          <w:b/>
          <w:sz w:val="24"/>
          <w:szCs w:val="24"/>
          <w:lang w:val="en-US"/>
        </w:rPr>
      </w:pPr>
      <w:r w:rsidRPr="00F36CBC">
        <w:rPr>
          <w:rFonts w:asciiTheme="majorBidi" w:hAnsiTheme="majorBidi"/>
          <w:color w:val="000000"/>
          <w:sz w:val="24"/>
          <w:szCs w:val="24"/>
        </w:rPr>
        <w:t xml:space="preserve">Adapun singkatan dari kata perkata pengalan-pengalan </w:t>
      </w:r>
      <w:r w:rsidRPr="00F36CBC">
        <w:rPr>
          <w:rFonts w:ascii="Times New Arabic" w:hAnsi="Times New Arabic"/>
          <w:i/>
          <w:sz w:val="24"/>
          <w:szCs w:val="24"/>
        </w:rPr>
        <w:t>Fami&gt; Bisyauqin</w:t>
      </w:r>
      <w:r w:rsidRPr="00F36CBC">
        <w:rPr>
          <w:rFonts w:asciiTheme="majorBidi" w:hAnsiTheme="majorBidi"/>
          <w:color w:val="000000"/>
          <w:sz w:val="24"/>
          <w:szCs w:val="24"/>
        </w:rPr>
        <w:t xml:space="preserve"> sebagai berikut: </w:t>
      </w:r>
    </w:p>
    <w:p w:rsidR="00B96615" w:rsidRPr="002A07F6" w:rsidRDefault="00B96615" w:rsidP="00B96615">
      <w:pPr>
        <w:numPr>
          <w:ilvl w:val="0"/>
          <w:numId w:val="7"/>
        </w:numPr>
        <w:spacing w:after="160" w:line="480" w:lineRule="auto"/>
        <w:ind w:left="426" w:hanging="426"/>
        <w:contextualSpacing/>
        <w:rPr>
          <w:rFonts w:asciiTheme="majorBidi" w:hAnsiTheme="majorBidi"/>
          <w:color w:val="000000"/>
          <w:sz w:val="24"/>
          <w:szCs w:val="24"/>
        </w:rPr>
      </w:pPr>
      <w:r w:rsidRPr="002A07F6">
        <w:rPr>
          <w:rFonts w:asciiTheme="majorBidi" w:hAnsiTheme="majorBidi"/>
          <w:color w:val="000000"/>
          <w:sz w:val="24"/>
          <w:szCs w:val="24"/>
        </w:rPr>
        <w:t xml:space="preserve">Huruf </w:t>
      </w:r>
      <w:r w:rsidRPr="004D64EC">
        <w:rPr>
          <w:rFonts w:ascii="Times New Arabic" w:hAnsi="Times New Arabic"/>
          <w:i/>
          <w:iCs/>
          <w:color w:val="000000"/>
          <w:sz w:val="24"/>
          <w:szCs w:val="24"/>
        </w:rPr>
        <w:t>fa’</w:t>
      </w:r>
      <w:r>
        <w:rPr>
          <w:rFonts w:asciiTheme="majorBidi" w:hAnsiTheme="majorBidi"/>
          <w:color w:val="000000"/>
          <w:sz w:val="24"/>
          <w:szCs w:val="24"/>
        </w:rPr>
        <w:t xml:space="preserve"> sebagai</w:t>
      </w:r>
      <w:r w:rsidRPr="002A07F6">
        <w:rPr>
          <w:rFonts w:asciiTheme="majorBidi" w:hAnsiTheme="majorBidi"/>
          <w:color w:val="000000"/>
          <w:sz w:val="24"/>
          <w:szCs w:val="24"/>
        </w:rPr>
        <w:t xml:space="preserve"> simbol dari surat al-Fatihah, sebagai wirid awal Rasulullah Saw. Pada hari pertama.</w:t>
      </w:r>
    </w:p>
    <w:p w:rsidR="00B96615" w:rsidRPr="002A07F6" w:rsidRDefault="00B96615" w:rsidP="00B96615">
      <w:pPr>
        <w:numPr>
          <w:ilvl w:val="0"/>
          <w:numId w:val="7"/>
        </w:numPr>
        <w:spacing w:after="160" w:line="480" w:lineRule="auto"/>
        <w:ind w:left="426" w:hanging="426"/>
        <w:contextualSpacing/>
        <w:rPr>
          <w:rFonts w:asciiTheme="majorBidi" w:hAnsiTheme="majorBidi"/>
          <w:color w:val="000000"/>
          <w:sz w:val="24"/>
          <w:szCs w:val="24"/>
        </w:rPr>
      </w:pPr>
      <w:r w:rsidRPr="002A07F6">
        <w:rPr>
          <w:rFonts w:asciiTheme="majorBidi" w:hAnsiTheme="majorBidi"/>
          <w:color w:val="000000"/>
          <w:sz w:val="24"/>
          <w:szCs w:val="24"/>
        </w:rPr>
        <w:t xml:space="preserve">Huruf </w:t>
      </w:r>
      <w:r w:rsidRPr="004D64EC">
        <w:rPr>
          <w:rFonts w:ascii="Times New Arabic" w:hAnsi="Times New Arabic"/>
          <w:i/>
          <w:iCs/>
          <w:color w:val="000000"/>
          <w:sz w:val="24"/>
          <w:szCs w:val="24"/>
        </w:rPr>
        <w:t>mim</w:t>
      </w:r>
      <w:r w:rsidRPr="002A07F6">
        <w:rPr>
          <w:rFonts w:asciiTheme="majorBidi" w:hAnsiTheme="majorBidi"/>
          <w:i/>
          <w:iCs/>
          <w:color w:val="000000"/>
          <w:sz w:val="24"/>
          <w:szCs w:val="24"/>
        </w:rPr>
        <w:t xml:space="preserve"> </w:t>
      </w:r>
      <w:r w:rsidRPr="002A07F6">
        <w:rPr>
          <w:rFonts w:asciiTheme="majorBidi" w:hAnsiTheme="majorBidi"/>
          <w:color w:val="000000"/>
          <w:sz w:val="24"/>
          <w:szCs w:val="24"/>
        </w:rPr>
        <w:t xml:space="preserve"> sebagai simbol dari surat al-Maa’idah, sebagai awal wirid beliau hari kedua </w:t>
      </w:r>
    </w:p>
    <w:p w:rsidR="00B96615" w:rsidRPr="002A07F6" w:rsidRDefault="00B96615" w:rsidP="00B96615">
      <w:pPr>
        <w:numPr>
          <w:ilvl w:val="0"/>
          <w:numId w:val="7"/>
        </w:numPr>
        <w:spacing w:after="160" w:line="480" w:lineRule="auto"/>
        <w:ind w:left="426" w:hanging="426"/>
        <w:contextualSpacing/>
        <w:rPr>
          <w:rFonts w:asciiTheme="majorBidi" w:hAnsiTheme="majorBidi"/>
          <w:color w:val="000000"/>
          <w:sz w:val="24"/>
          <w:szCs w:val="24"/>
        </w:rPr>
      </w:pPr>
      <w:r w:rsidRPr="002A07F6">
        <w:rPr>
          <w:rFonts w:asciiTheme="majorBidi" w:hAnsiTheme="majorBidi"/>
          <w:color w:val="000000"/>
          <w:sz w:val="24"/>
          <w:szCs w:val="24"/>
        </w:rPr>
        <w:lastRenderedPageBreak/>
        <w:t xml:space="preserve">Huruf </w:t>
      </w:r>
      <w:r w:rsidRPr="004D64EC">
        <w:rPr>
          <w:rFonts w:ascii="Times New Arabic" w:hAnsi="Times New Arabic"/>
          <w:i/>
          <w:iCs/>
          <w:color w:val="000000"/>
          <w:sz w:val="24"/>
          <w:szCs w:val="24"/>
        </w:rPr>
        <w:t>ya</w:t>
      </w:r>
      <w:r w:rsidRPr="002A07F6">
        <w:rPr>
          <w:rFonts w:asciiTheme="majorBidi" w:hAnsiTheme="majorBidi"/>
          <w:i/>
          <w:iCs/>
          <w:color w:val="000000"/>
          <w:sz w:val="24"/>
          <w:szCs w:val="24"/>
        </w:rPr>
        <w:t>’</w:t>
      </w:r>
      <w:r w:rsidRPr="002A07F6">
        <w:rPr>
          <w:rFonts w:asciiTheme="majorBidi" w:hAnsiTheme="majorBidi"/>
          <w:color w:val="000000"/>
          <w:sz w:val="24"/>
          <w:szCs w:val="24"/>
        </w:rPr>
        <w:t xml:space="preserve"> sebagai simbol dari surat Yunus, sebagai wirid beliau pada hari ketiga. </w:t>
      </w:r>
    </w:p>
    <w:p w:rsidR="00B96615" w:rsidRPr="002A07F6" w:rsidRDefault="00B96615" w:rsidP="00B96615">
      <w:pPr>
        <w:numPr>
          <w:ilvl w:val="0"/>
          <w:numId w:val="7"/>
        </w:numPr>
        <w:spacing w:after="160" w:line="480" w:lineRule="auto"/>
        <w:ind w:left="426" w:hanging="426"/>
        <w:contextualSpacing/>
        <w:rPr>
          <w:rFonts w:asciiTheme="majorBidi" w:hAnsiTheme="majorBidi"/>
          <w:color w:val="000000"/>
          <w:sz w:val="24"/>
          <w:szCs w:val="24"/>
        </w:rPr>
      </w:pPr>
      <w:r w:rsidRPr="002A07F6">
        <w:rPr>
          <w:rFonts w:asciiTheme="majorBidi" w:hAnsiTheme="majorBidi"/>
          <w:color w:val="000000"/>
          <w:sz w:val="24"/>
          <w:szCs w:val="24"/>
        </w:rPr>
        <w:t xml:space="preserve">Huruf </w:t>
      </w:r>
      <w:r w:rsidRPr="004D64EC">
        <w:rPr>
          <w:rFonts w:ascii="Times New Arabic" w:hAnsi="Times New Arabic"/>
          <w:i/>
          <w:iCs/>
          <w:color w:val="000000"/>
          <w:sz w:val="24"/>
          <w:szCs w:val="24"/>
        </w:rPr>
        <w:t>ba</w:t>
      </w:r>
      <w:r w:rsidRPr="004D64EC">
        <w:rPr>
          <w:rFonts w:ascii="Times New Arabic" w:hAnsi="Times New Arabic"/>
          <w:color w:val="000000"/>
          <w:sz w:val="24"/>
          <w:szCs w:val="24"/>
        </w:rPr>
        <w:t>’</w:t>
      </w:r>
      <w:r w:rsidRPr="002A07F6">
        <w:rPr>
          <w:rFonts w:asciiTheme="majorBidi" w:hAnsiTheme="majorBidi"/>
          <w:color w:val="000000"/>
          <w:sz w:val="24"/>
          <w:szCs w:val="24"/>
        </w:rPr>
        <w:t xml:space="preserve"> sebagai simbol dari surat Banu Isra</w:t>
      </w:r>
      <w:r>
        <w:rPr>
          <w:rFonts w:asciiTheme="majorBidi" w:hAnsiTheme="majorBidi"/>
          <w:color w:val="000000"/>
          <w:sz w:val="24"/>
          <w:szCs w:val="24"/>
        </w:rPr>
        <w:t xml:space="preserve">il (nama lain surat al-Isra’), </w:t>
      </w:r>
      <w:r w:rsidRPr="002A07F6">
        <w:rPr>
          <w:rFonts w:asciiTheme="majorBidi" w:hAnsiTheme="majorBidi"/>
          <w:color w:val="000000"/>
          <w:sz w:val="24"/>
          <w:szCs w:val="24"/>
        </w:rPr>
        <w:t xml:space="preserve">sebagai wirid beliau pada hari keempat. </w:t>
      </w:r>
    </w:p>
    <w:p w:rsidR="00B96615" w:rsidRPr="002A07F6" w:rsidRDefault="00B96615" w:rsidP="00B96615">
      <w:pPr>
        <w:numPr>
          <w:ilvl w:val="0"/>
          <w:numId w:val="7"/>
        </w:numPr>
        <w:spacing w:after="160" w:line="480" w:lineRule="auto"/>
        <w:ind w:left="426" w:hanging="426"/>
        <w:contextualSpacing/>
        <w:rPr>
          <w:rFonts w:asciiTheme="majorBidi" w:hAnsiTheme="majorBidi"/>
          <w:color w:val="000000"/>
          <w:sz w:val="24"/>
          <w:szCs w:val="24"/>
        </w:rPr>
      </w:pPr>
      <w:r w:rsidRPr="002A07F6">
        <w:rPr>
          <w:rFonts w:asciiTheme="majorBidi" w:hAnsiTheme="majorBidi"/>
          <w:color w:val="000000"/>
          <w:sz w:val="24"/>
          <w:szCs w:val="24"/>
        </w:rPr>
        <w:t xml:space="preserve">Huruf </w:t>
      </w:r>
      <w:r w:rsidRPr="004D64EC">
        <w:rPr>
          <w:rFonts w:ascii="Times New Arabic" w:hAnsi="Times New Arabic"/>
          <w:i/>
          <w:iCs/>
          <w:color w:val="000000"/>
          <w:sz w:val="24"/>
          <w:szCs w:val="24"/>
        </w:rPr>
        <w:t>syin</w:t>
      </w:r>
      <w:r w:rsidRPr="002A07F6">
        <w:rPr>
          <w:rFonts w:asciiTheme="majorBidi" w:hAnsiTheme="majorBidi"/>
          <w:color w:val="000000"/>
          <w:sz w:val="24"/>
          <w:szCs w:val="24"/>
        </w:rPr>
        <w:t xml:space="preserve"> sebagai simbol dari surah asy-Syu’araa’, sebagai wirid beliau pada hari kelima.  </w:t>
      </w:r>
    </w:p>
    <w:p w:rsidR="00B96615" w:rsidRDefault="00B96615" w:rsidP="00B96615">
      <w:pPr>
        <w:numPr>
          <w:ilvl w:val="0"/>
          <w:numId w:val="7"/>
        </w:numPr>
        <w:spacing w:after="160" w:line="480" w:lineRule="auto"/>
        <w:ind w:left="426" w:hanging="426"/>
        <w:contextualSpacing/>
        <w:rPr>
          <w:rFonts w:asciiTheme="majorBidi" w:hAnsiTheme="majorBidi"/>
          <w:color w:val="000000"/>
          <w:sz w:val="24"/>
          <w:szCs w:val="24"/>
        </w:rPr>
      </w:pPr>
      <w:r w:rsidRPr="002A07F6">
        <w:rPr>
          <w:rFonts w:asciiTheme="majorBidi" w:hAnsiTheme="majorBidi"/>
          <w:color w:val="000000"/>
          <w:sz w:val="24"/>
          <w:szCs w:val="24"/>
        </w:rPr>
        <w:t xml:space="preserve">Huruf </w:t>
      </w:r>
      <w:r w:rsidRPr="002A07F6">
        <w:rPr>
          <w:rFonts w:asciiTheme="majorBidi" w:hAnsiTheme="majorBidi"/>
          <w:i/>
          <w:iCs/>
          <w:color w:val="000000"/>
          <w:sz w:val="24"/>
          <w:szCs w:val="24"/>
        </w:rPr>
        <w:t>wawu</w:t>
      </w:r>
      <w:r w:rsidRPr="002A07F6">
        <w:rPr>
          <w:rFonts w:asciiTheme="majorBidi" w:hAnsiTheme="majorBidi"/>
          <w:color w:val="000000"/>
          <w:sz w:val="24"/>
          <w:szCs w:val="24"/>
        </w:rPr>
        <w:t xml:space="preserve"> sebagai simbol dari surat </w:t>
      </w:r>
      <w:r w:rsidRPr="004708AA">
        <w:rPr>
          <w:rFonts w:ascii="Times New Arabic" w:hAnsi="Times New Arabic"/>
          <w:i/>
          <w:color w:val="000000"/>
          <w:sz w:val="24"/>
          <w:szCs w:val="24"/>
        </w:rPr>
        <w:t>washafat</w:t>
      </w:r>
      <w:r w:rsidRPr="002A07F6">
        <w:rPr>
          <w:rFonts w:asciiTheme="majorBidi" w:hAnsiTheme="majorBidi"/>
          <w:color w:val="000000"/>
          <w:sz w:val="24"/>
          <w:szCs w:val="24"/>
        </w:rPr>
        <w:t xml:space="preserve"> atau ashSaaffat, sebagai wirid beliau pada hari keenam.</w:t>
      </w:r>
    </w:p>
    <w:p w:rsidR="00B96615" w:rsidRPr="007B07D0" w:rsidRDefault="00B96615" w:rsidP="00B96615">
      <w:pPr>
        <w:numPr>
          <w:ilvl w:val="0"/>
          <w:numId w:val="7"/>
        </w:numPr>
        <w:spacing w:after="160" w:line="480" w:lineRule="auto"/>
        <w:ind w:left="426" w:hanging="426"/>
        <w:contextualSpacing/>
        <w:rPr>
          <w:rFonts w:asciiTheme="majorBidi" w:hAnsiTheme="majorBidi"/>
          <w:color w:val="000000"/>
          <w:sz w:val="24"/>
          <w:szCs w:val="24"/>
          <w:lang w:val="en-US"/>
        </w:rPr>
      </w:pPr>
      <w:r w:rsidRPr="007B07D0">
        <w:rPr>
          <w:rFonts w:asciiTheme="majorBidi" w:hAnsiTheme="majorBidi"/>
          <w:color w:val="000000"/>
          <w:sz w:val="24"/>
          <w:szCs w:val="24"/>
        </w:rPr>
        <w:t xml:space="preserve">Kemudian, huruf yang terakhir, </w:t>
      </w:r>
      <w:r w:rsidRPr="007B07D0">
        <w:rPr>
          <w:rFonts w:asciiTheme="majorBidi" w:hAnsiTheme="majorBidi"/>
          <w:i/>
          <w:iCs/>
          <w:color w:val="000000"/>
          <w:sz w:val="24"/>
          <w:szCs w:val="24"/>
        </w:rPr>
        <w:t>qof</w:t>
      </w:r>
      <w:r w:rsidRPr="007B07D0">
        <w:rPr>
          <w:rFonts w:asciiTheme="majorBidi" w:hAnsiTheme="majorBidi"/>
          <w:color w:val="000000"/>
          <w:sz w:val="24"/>
          <w:szCs w:val="24"/>
        </w:rPr>
        <w:t xml:space="preserve"> sebagai simbol dari surat Qaaf, sebagai wirid beliau pada hari ketujuh</w:t>
      </w:r>
      <w:r w:rsidRPr="007B07D0">
        <w:rPr>
          <w:rFonts w:asciiTheme="majorBidi" w:hAnsiTheme="majorBidi"/>
          <w:color w:val="000000"/>
          <w:sz w:val="24"/>
          <w:szCs w:val="24"/>
          <w:lang w:val="en-US"/>
        </w:rPr>
        <w:t>.</w:t>
      </w:r>
    </w:p>
    <w:p w:rsidR="00B96615" w:rsidRPr="00F36CBC" w:rsidRDefault="00B96615" w:rsidP="00B96615">
      <w:pPr>
        <w:pStyle w:val="ListParagraph"/>
        <w:numPr>
          <w:ilvl w:val="0"/>
          <w:numId w:val="2"/>
        </w:numPr>
        <w:spacing w:line="480" w:lineRule="auto"/>
        <w:ind w:left="284" w:hanging="284"/>
        <w:rPr>
          <w:rFonts w:asciiTheme="majorBidi" w:hAnsiTheme="majorBidi"/>
          <w:b/>
          <w:bCs/>
          <w:sz w:val="24"/>
          <w:szCs w:val="24"/>
          <w:lang w:val="en-ID"/>
        </w:rPr>
      </w:pPr>
      <w:r w:rsidRPr="00BC67C4">
        <w:rPr>
          <w:rFonts w:asciiTheme="majorBidi" w:hAnsiTheme="majorBidi"/>
          <w:b/>
          <w:bCs/>
          <w:sz w:val="24"/>
          <w:szCs w:val="24"/>
          <w:lang w:val="en-ID"/>
        </w:rPr>
        <w:t xml:space="preserve">Karakteristik metode </w:t>
      </w:r>
      <w:r w:rsidRPr="004708AA">
        <w:rPr>
          <w:rFonts w:ascii="Times New Arabic" w:hAnsi="Times New Arabic"/>
          <w:b/>
          <w:i/>
          <w:sz w:val="24"/>
          <w:szCs w:val="24"/>
        </w:rPr>
        <w:t>Fami&gt; Bisyauqin</w:t>
      </w:r>
    </w:p>
    <w:p w:rsidR="00B96615" w:rsidRDefault="00B96615" w:rsidP="00B96615">
      <w:pPr>
        <w:spacing w:line="480" w:lineRule="auto"/>
        <w:ind w:firstLine="720"/>
        <w:rPr>
          <w:rFonts w:asciiTheme="majorBidi" w:hAnsiTheme="majorBidi"/>
          <w:b/>
          <w:bCs/>
          <w:sz w:val="24"/>
          <w:szCs w:val="24"/>
          <w:lang w:val="en-ID"/>
        </w:rPr>
      </w:pPr>
      <w:proofErr w:type="gramStart"/>
      <w:r w:rsidRPr="00F36CBC">
        <w:rPr>
          <w:rFonts w:asciiTheme="majorBidi" w:hAnsiTheme="majorBidi"/>
          <w:bCs/>
          <w:sz w:val="24"/>
          <w:szCs w:val="24"/>
          <w:lang w:val="en-ID"/>
        </w:rPr>
        <w:t xml:space="preserve">Karakteristik pada Metode </w:t>
      </w:r>
      <w:r w:rsidRPr="00F36CBC">
        <w:rPr>
          <w:rFonts w:ascii="Times New Arabic" w:hAnsi="Times New Arabic"/>
          <w:i/>
          <w:sz w:val="24"/>
          <w:szCs w:val="24"/>
        </w:rPr>
        <w:t>Fami&gt; Bisyauqin</w:t>
      </w:r>
      <w:r w:rsidRPr="00F36CBC">
        <w:rPr>
          <w:rFonts w:asciiTheme="majorBidi" w:hAnsiTheme="majorBidi"/>
          <w:color w:val="000000"/>
          <w:sz w:val="24"/>
          <w:szCs w:val="24"/>
        </w:rPr>
        <w:t xml:space="preserve"> </w:t>
      </w:r>
      <w:r w:rsidRPr="00F36CBC">
        <w:rPr>
          <w:rFonts w:asciiTheme="majorBidi" w:hAnsiTheme="majorBidi"/>
          <w:bCs/>
          <w:sz w:val="24"/>
          <w:szCs w:val="24"/>
          <w:lang w:val="en-ID"/>
        </w:rPr>
        <w:t>dalam memelihara hafalan Al Qur’an pada huffaz adalah mudah, praktis sistematis, fleksibel dan sesuai dengan sunah Rosullah SAW.</w:t>
      </w:r>
      <w:proofErr w:type="gramEnd"/>
      <w:r>
        <w:rPr>
          <w:rStyle w:val="FootnoteReference"/>
          <w:rFonts w:asciiTheme="majorBidi" w:hAnsiTheme="majorBidi"/>
          <w:bCs/>
          <w:sz w:val="24"/>
          <w:szCs w:val="24"/>
          <w:lang w:val="en-ID"/>
        </w:rPr>
        <w:footnoteReference w:id="2"/>
      </w:r>
    </w:p>
    <w:p w:rsidR="00B96615" w:rsidRDefault="00B96615" w:rsidP="00B96615">
      <w:pPr>
        <w:spacing w:line="480" w:lineRule="auto"/>
        <w:ind w:firstLine="720"/>
        <w:rPr>
          <w:rFonts w:asciiTheme="majorBidi" w:hAnsiTheme="majorBidi"/>
          <w:bCs/>
          <w:sz w:val="24"/>
          <w:szCs w:val="24"/>
          <w:lang w:val="en-ID"/>
        </w:rPr>
      </w:pPr>
      <w:r w:rsidRPr="00F36CBC">
        <w:rPr>
          <w:rFonts w:asciiTheme="majorBidi" w:hAnsiTheme="majorBidi"/>
          <w:bCs/>
          <w:sz w:val="24"/>
          <w:szCs w:val="24"/>
          <w:lang w:val="en-ID"/>
        </w:rPr>
        <w:t xml:space="preserve">Mudah karena seorang </w:t>
      </w:r>
      <w:proofErr w:type="gramStart"/>
      <w:r w:rsidRPr="00F36CBC">
        <w:rPr>
          <w:rFonts w:asciiTheme="majorBidi" w:hAnsiTheme="majorBidi"/>
          <w:bCs/>
          <w:sz w:val="24"/>
          <w:szCs w:val="24"/>
          <w:lang w:val="en-ID"/>
        </w:rPr>
        <w:t>hufaz  dengan</w:t>
      </w:r>
      <w:proofErr w:type="gramEnd"/>
      <w:r w:rsidRPr="00F36CBC">
        <w:rPr>
          <w:rFonts w:asciiTheme="majorBidi" w:hAnsiTheme="majorBidi"/>
          <w:bCs/>
          <w:sz w:val="24"/>
          <w:szCs w:val="24"/>
          <w:lang w:val="en-ID"/>
        </w:rPr>
        <w:t xml:space="preserve"> segala aktivitasnya rata rata mampu murojaah hafalnnya maksimal 5-6 jus perhari. </w:t>
      </w:r>
      <w:proofErr w:type="gramStart"/>
      <w:r w:rsidRPr="00F36CBC">
        <w:rPr>
          <w:rFonts w:asciiTheme="majorBidi" w:hAnsiTheme="majorBidi"/>
          <w:bCs/>
          <w:sz w:val="24"/>
          <w:szCs w:val="24"/>
          <w:lang w:val="en-ID"/>
        </w:rPr>
        <w:t xml:space="preserve">Dan metode </w:t>
      </w:r>
      <w:r w:rsidRPr="00F36CBC">
        <w:rPr>
          <w:rFonts w:ascii="Times New Arabic" w:hAnsi="Times New Arabic"/>
          <w:i/>
          <w:sz w:val="24"/>
          <w:szCs w:val="24"/>
        </w:rPr>
        <w:t>Fami&gt; Bisyauqin</w:t>
      </w:r>
      <w:r w:rsidRPr="00F36CBC">
        <w:rPr>
          <w:rFonts w:asciiTheme="majorBidi" w:hAnsiTheme="majorBidi"/>
          <w:color w:val="000000"/>
          <w:sz w:val="24"/>
          <w:szCs w:val="24"/>
        </w:rPr>
        <w:t xml:space="preserve"> </w:t>
      </w:r>
      <w:r w:rsidRPr="00F36CBC">
        <w:rPr>
          <w:rFonts w:asciiTheme="majorBidi" w:hAnsiTheme="majorBidi"/>
          <w:bCs/>
          <w:sz w:val="24"/>
          <w:szCs w:val="24"/>
          <w:lang w:val="en-ID"/>
        </w:rPr>
        <w:t>mengkoordinatur hal tersebut.</w:t>
      </w:r>
      <w:proofErr w:type="gramEnd"/>
      <w:r w:rsidRPr="00F36CBC">
        <w:rPr>
          <w:rFonts w:asciiTheme="majorBidi" w:hAnsiTheme="majorBidi"/>
          <w:bCs/>
          <w:sz w:val="24"/>
          <w:szCs w:val="24"/>
          <w:lang w:val="en-ID"/>
        </w:rPr>
        <w:t xml:space="preserve"> </w:t>
      </w:r>
      <w:proofErr w:type="gramStart"/>
      <w:r w:rsidRPr="00F36CBC">
        <w:rPr>
          <w:rFonts w:asciiTheme="majorBidi" w:hAnsiTheme="majorBidi"/>
          <w:bCs/>
          <w:sz w:val="24"/>
          <w:szCs w:val="24"/>
          <w:lang w:val="en-ID"/>
        </w:rPr>
        <w:t>Praktis karena dengan metode tersebut telah didesain sedemikian rupa, seorang huffaz dapat menyelesaikan murojaah nya dapat 30 jus dalam waktu tujuh hari.</w:t>
      </w:r>
      <w:proofErr w:type="gramEnd"/>
      <w:r w:rsidRPr="00F36CBC">
        <w:rPr>
          <w:rFonts w:asciiTheme="majorBidi" w:hAnsiTheme="majorBidi"/>
          <w:bCs/>
          <w:sz w:val="24"/>
          <w:szCs w:val="24"/>
          <w:lang w:val="en-ID"/>
        </w:rPr>
        <w:t xml:space="preserve"> Sistematis karena telah ada panduan untuk memulai dan mengakhiri di dalam murojhaah Al Qur’an yang terda</w:t>
      </w:r>
      <w:r>
        <w:rPr>
          <w:rFonts w:asciiTheme="majorBidi" w:hAnsiTheme="majorBidi"/>
          <w:bCs/>
          <w:sz w:val="24"/>
          <w:szCs w:val="24"/>
          <w:lang w:val="en-ID"/>
        </w:rPr>
        <w:t xml:space="preserve">pat dalam </w:t>
      </w:r>
      <w:proofErr w:type="gramStart"/>
      <w:r>
        <w:rPr>
          <w:rFonts w:asciiTheme="majorBidi" w:hAnsiTheme="majorBidi"/>
          <w:bCs/>
          <w:sz w:val="24"/>
          <w:szCs w:val="24"/>
          <w:lang w:val="en-ID"/>
        </w:rPr>
        <w:t>nama</w:t>
      </w:r>
      <w:proofErr w:type="gramEnd"/>
      <w:r>
        <w:rPr>
          <w:rFonts w:asciiTheme="majorBidi" w:hAnsiTheme="majorBidi"/>
          <w:bCs/>
          <w:sz w:val="24"/>
          <w:szCs w:val="24"/>
          <w:lang w:val="en-ID"/>
        </w:rPr>
        <w:t xml:space="preserve"> metode tersebut.</w:t>
      </w:r>
    </w:p>
    <w:p w:rsidR="00B96615" w:rsidRDefault="00B96615" w:rsidP="00B96615">
      <w:pPr>
        <w:spacing w:line="480" w:lineRule="auto"/>
        <w:ind w:firstLine="720"/>
        <w:rPr>
          <w:rFonts w:asciiTheme="majorBidi" w:hAnsiTheme="majorBidi"/>
          <w:b/>
          <w:bCs/>
          <w:sz w:val="24"/>
          <w:szCs w:val="24"/>
          <w:lang w:val="en-ID"/>
        </w:rPr>
      </w:pPr>
      <w:r w:rsidRPr="00F36CBC">
        <w:rPr>
          <w:rFonts w:asciiTheme="majorBidi" w:hAnsiTheme="majorBidi"/>
          <w:bCs/>
          <w:sz w:val="24"/>
          <w:szCs w:val="24"/>
          <w:lang w:val="en-ID"/>
        </w:rPr>
        <w:lastRenderedPageBreak/>
        <w:t xml:space="preserve">Fleksibel yaitu seorang huffaz sesuai dengan tingkat kemampuan hafalan dan kesibukannya, tidak di tuntuk untuk menyelesaikan hizibnya dalam satu waktu (dalam satu duduk), mereka dapat memilih waktu yang di anggap tepat untuk melakukan murojaah dengan menggunkan metode </w:t>
      </w:r>
      <w:r w:rsidRPr="00F36CBC">
        <w:rPr>
          <w:rFonts w:ascii="Times New Arabic" w:hAnsi="Times New Arabic"/>
          <w:i/>
          <w:sz w:val="24"/>
          <w:szCs w:val="24"/>
        </w:rPr>
        <w:t>Fami&gt; Bisyauqin</w:t>
      </w:r>
    </w:p>
    <w:p w:rsidR="00B96615" w:rsidRPr="00F52DA1" w:rsidRDefault="00B96615" w:rsidP="00B96615">
      <w:pPr>
        <w:spacing w:line="480" w:lineRule="auto"/>
        <w:ind w:firstLine="720"/>
        <w:rPr>
          <w:rFonts w:asciiTheme="majorBidi" w:hAnsiTheme="majorBidi"/>
          <w:bCs/>
          <w:sz w:val="24"/>
          <w:szCs w:val="24"/>
          <w:lang w:val="en-ID"/>
        </w:rPr>
      </w:pPr>
      <w:r w:rsidRPr="00F36CBC">
        <w:rPr>
          <w:rFonts w:asciiTheme="majorBidi" w:hAnsiTheme="majorBidi"/>
          <w:bCs/>
          <w:sz w:val="24"/>
          <w:szCs w:val="24"/>
          <w:lang w:val="en-ID"/>
        </w:rPr>
        <w:t xml:space="preserve">Sesuai </w:t>
      </w:r>
      <w:proofErr w:type="gramStart"/>
      <w:r w:rsidRPr="00F36CBC">
        <w:rPr>
          <w:rFonts w:asciiTheme="majorBidi" w:hAnsiTheme="majorBidi"/>
          <w:bCs/>
          <w:sz w:val="24"/>
          <w:szCs w:val="24"/>
          <w:lang w:val="en-ID"/>
        </w:rPr>
        <w:t>sunnah</w:t>
      </w:r>
      <w:proofErr w:type="gramEnd"/>
      <w:r w:rsidRPr="00F36CBC">
        <w:rPr>
          <w:rFonts w:asciiTheme="majorBidi" w:hAnsiTheme="majorBidi"/>
          <w:bCs/>
          <w:sz w:val="24"/>
          <w:szCs w:val="24"/>
          <w:lang w:val="en-ID"/>
        </w:rPr>
        <w:t xml:space="preserve"> Rosullah SAW karena di dalam sebuah hadits di jelaskan bahwa Rosullah SAW membagi Al Qur’an menjadi beberapa hizib untuk di murojaah yaitu tiga, lima, tujuh, Sembilan, sebelas, dan tiga belas, serta </w:t>
      </w:r>
      <w:r w:rsidRPr="00F36CBC">
        <w:rPr>
          <w:rFonts w:ascii="Times New Arabic" w:hAnsi="Times New Arabic"/>
          <w:bCs/>
          <w:i/>
          <w:sz w:val="24"/>
          <w:szCs w:val="24"/>
          <w:lang w:val="en-ID"/>
        </w:rPr>
        <w:t>hizb</w:t>
      </w:r>
      <w:r w:rsidRPr="00F36CBC">
        <w:rPr>
          <w:rFonts w:asciiTheme="majorBidi" w:hAnsiTheme="majorBidi"/>
          <w:bCs/>
          <w:sz w:val="24"/>
          <w:szCs w:val="24"/>
          <w:lang w:val="en-ID"/>
        </w:rPr>
        <w:t>.</w:t>
      </w:r>
    </w:p>
    <w:p w:rsidR="00B96615" w:rsidRPr="00F36CBC" w:rsidRDefault="00B96615" w:rsidP="00B96615">
      <w:pPr>
        <w:pStyle w:val="ListParagraph"/>
        <w:numPr>
          <w:ilvl w:val="0"/>
          <w:numId w:val="2"/>
        </w:numPr>
        <w:spacing w:after="200" w:line="276" w:lineRule="auto"/>
        <w:ind w:left="284" w:hanging="284"/>
        <w:jc w:val="left"/>
        <w:rPr>
          <w:rFonts w:ascii="Times New Arabic" w:hAnsi="Times New Arabic"/>
          <w:b/>
          <w:sz w:val="24"/>
          <w:szCs w:val="24"/>
        </w:rPr>
      </w:pPr>
      <w:r w:rsidRPr="00233090">
        <w:rPr>
          <w:rFonts w:ascii="Times New Roman" w:hAnsi="Times New Roman"/>
          <w:b/>
          <w:sz w:val="24"/>
          <w:szCs w:val="24"/>
        </w:rPr>
        <w:t xml:space="preserve">Sejarah </w:t>
      </w:r>
      <w:r w:rsidRPr="00233090">
        <w:rPr>
          <w:rFonts w:ascii="Times New Arabic" w:hAnsi="Times New Arabic"/>
          <w:b/>
          <w:i/>
          <w:sz w:val="24"/>
          <w:szCs w:val="24"/>
        </w:rPr>
        <w:t xml:space="preserve">fami&lt; bisyauqin </w:t>
      </w:r>
    </w:p>
    <w:p w:rsidR="00B96615" w:rsidRDefault="00B96615" w:rsidP="00B96615">
      <w:pPr>
        <w:spacing w:line="480" w:lineRule="auto"/>
        <w:ind w:firstLine="720"/>
        <w:rPr>
          <w:rFonts w:ascii="Times New Arabic" w:hAnsi="Times New Arabic"/>
          <w:b/>
          <w:sz w:val="24"/>
          <w:szCs w:val="24"/>
        </w:rPr>
      </w:pPr>
      <w:r w:rsidRPr="00F36CBC">
        <w:rPr>
          <w:rFonts w:asciiTheme="majorBidi" w:hAnsiTheme="majorBidi"/>
          <w:sz w:val="24"/>
          <w:szCs w:val="24"/>
        </w:rPr>
        <w:t xml:space="preserve">Adapun sejarah Fami Bisyauqin, banyak riwayat </w:t>
      </w:r>
      <w:r w:rsidRPr="00F36CBC">
        <w:rPr>
          <w:rFonts w:asciiTheme="majorBidi" w:hAnsiTheme="majorBidi"/>
          <w:i/>
          <w:iCs/>
          <w:sz w:val="24"/>
          <w:szCs w:val="24"/>
        </w:rPr>
        <w:t>shahih</w:t>
      </w:r>
      <w:r w:rsidRPr="00F36CBC">
        <w:rPr>
          <w:rFonts w:asciiTheme="majorBidi" w:hAnsiTheme="majorBidi"/>
          <w:sz w:val="24"/>
          <w:szCs w:val="24"/>
        </w:rPr>
        <w:t xml:space="preserve"> tentang </w:t>
      </w:r>
      <w:r w:rsidRPr="00F36CBC">
        <w:rPr>
          <w:rFonts w:asciiTheme="majorBidi" w:hAnsiTheme="majorBidi"/>
          <w:i/>
          <w:iCs/>
          <w:sz w:val="24"/>
          <w:szCs w:val="24"/>
        </w:rPr>
        <w:t xml:space="preserve">hizb </w:t>
      </w:r>
      <w:r w:rsidRPr="00F36CBC">
        <w:rPr>
          <w:rFonts w:asciiTheme="majorBidi" w:hAnsiTheme="majorBidi"/>
          <w:sz w:val="24"/>
          <w:szCs w:val="24"/>
        </w:rPr>
        <w:t xml:space="preserve">(Kelompok Surat) atau membaca Al Qur’an dengan target harian ini. Rasulullah SAW dan para Sahabat senantiasa menjaga amalan ini, sebagaimana diriwayatkan dari Umar bin Khattab r.a. Bahwa Rasulullah bersabda: “Barang siapa tertidur sebelum membaca </w:t>
      </w:r>
      <w:r w:rsidRPr="00F36CBC">
        <w:rPr>
          <w:rFonts w:asciiTheme="majorBidi" w:hAnsiTheme="majorBidi"/>
          <w:i/>
          <w:iCs/>
          <w:sz w:val="24"/>
          <w:szCs w:val="24"/>
        </w:rPr>
        <w:t>Hizb</w:t>
      </w:r>
      <w:r w:rsidRPr="00F36CBC">
        <w:rPr>
          <w:rFonts w:asciiTheme="majorBidi" w:hAnsiTheme="majorBidi"/>
          <w:sz w:val="24"/>
          <w:szCs w:val="24"/>
        </w:rPr>
        <w:t xml:space="preserve"> nya atau sebagiannya, kemudian dia membancanya diantara shalat Fajar dan shalat Dzuhur, maka dia mendapatkan pahala seperti membaca pada malam hari”.</w:t>
      </w:r>
    </w:p>
    <w:p w:rsidR="00B96615" w:rsidRDefault="00B96615" w:rsidP="00B96615">
      <w:pPr>
        <w:spacing w:line="480" w:lineRule="auto"/>
        <w:ind w:firstLine="720"/>
        <w:rPr>
          <w:rFonts w:ascii="Times New Arabic" w:hAnsi="Times New Arabic"/>
          <w:b/>
          <w:sz w:val="24"/>
          <w:szCs w:val="24"/>
        </w:rPr>
      </w:pPr>
      <w:r w:rsidRPr="00F36CBC">
        <w:rPr>
          <w:rFonts w:asciiTheme="majorBidi" w:hAnsiTheme="majorBidi"/>
          <w:sz w:val="24"/>
          <w:szCs w:val="24"/>
        </w:rPr>
        <w:t xml:space="preserve">Diantara </w:t>
      </w:r>
      <w:r w:rsidRPr="00F36CBC">
        <w:rPr>
          <w:rFonts w:ascii="Times New Arabic" w:hAnsi="Times New Arabic"/>
          <w:i/>
          <w:iCs/>
          <w:sz w:val="24"/>
          <w:szCs w:val="24"/>
        </w:rPr>
        <w:t>hizb</w:t>
      </w:r>
      <w:r w:rsidRPr="00F36CBC">
        <w:rPr>
          <w:rFonts w:asciiTheme="majorBidi" w:hAnsiTheme="majorBidi"/>
          <w:sz w:val="24"/>
          <w:szCs w:val="24"/>
        </w:rPr>
        <w:t xml:space="preserve"> yang </w:t>
      </w:r>
      <w:r w:rsidRPr="00F36CBC">
        <w:rPr>
          <w:rFonts w:ascii="Times New Arabic" w:hAnsi="Times New Arabic"/>
          <w:i/>
          <w:iCs/>
          <w:sz w:val="24"/>
          <w:szCs w:val="24"/>
        </w:rPr>
        <w:t>masyhur</w:t>
      </w:r>
      <w:r w:rsidRPr="00F36CBC">
        <w:rPr>
          <w:rFonts w:asciiTheme="majorBidi" w:hAnsiTheme="majorBidi"/>
          <w:sz w:val="24"/>
          <w:szCs w:val="24"/>
        </w:rPr>
        <w:t xml:space="preserve"> dikalangan mereka adalah sebagaimana yang diriwayatkan Aus bin Hudzaifah r.a: pada suatu malam Rasulullah terlambat hadir pada pertemuan yang biasa kami berkumpul sebelumnya, sehingga aku bertanya tentang keterlambatannya. Beliau menjawab: “malam ini saya punya tanggungan </w:t>
      </w:r>
      <w:r w:rsidRPr="00F36CBC">
        <w:rPr>
          <w:rFonts w:asciiTheme="majorBidi" w:hAnsiTheme="majorBidi"/>
          <w:i/>
          <w:iCs/>
          <w:sz w:val="24"/>
          <w:szCs w:val="24"/>
        </w:rPr>
        <w:t>hizb</w:t>
      </w:r>
      <w:r w:rsidRPr="00F36CBC">
        <w:rPr>
          <w:rFonts w:asciiTheme="majorBidi" w:hAnsiTheme="majorBidi"/>
          <w:sz w:val="24"/>
          <w:szCs w:val="24"/>
        </w:rPr>
        <w:t xml:space="preserve"> dari al-Qur’an yang belum selesai dibaca, maka aku enggan keluar rumah sampai aku dapat menyempurnaknnya”. Lalu pagi harinya saya menanyakan para Sahabat Rasulullah SAW: “ bagaimana kalian membuat </w:t>
      </w:r>
      <w:r w:rsidRPr="00F36CBC">
        <w:rPr>
          <w:rFonts w:asciiTheme="majorBidi" w:hAnsiTheme="majorBidi"/>
          <w:i/>
          <w:iCs/>
          <w:sz w:val="24"/>
          <w:szCs w:val="24"/>
        </w:rPr>
        <w:t>hizb</w:t>
      </w:r>
      <w:r w:rsidRPr="00F36CBC">
        <w:rPr>
          <w:rFonts w:asciiTheme="majorBidi" w:hAnsiTheme="majorBidi"/>
          <w:sz w:val="24"/>
          <w:szCs w:val="24"/>
        </w:rPr>
        <w:t xml:space="preserve"> dari al-Qur’an?”, mereka </w:t>
      </w:r>
      <w:r w:rsidRPr="00F36CBC">
        <w:rPr>
          <w:rFonts w:asciiTheme="majorBidi" w:hAnsiTheme="majorBidi"/>
          <w:sz w:val="24"/>
          <w:szCs w:val="24"/>
        </w:rPr>
        <w:lastRenderedPageBreak/>
        <w:t xml:space="preserve">menjawab: “kami membanginya menjadi 3 surat, 5 surat, 7 surat 9 surat 11 surat 13 surat dan </w:t>
      </w:r>
      <w:r w:rsidRPr="00F36CBC">
        <w:rPr>
          <w:rFonts w:asciiTheme="majorBidi" w:hAnsiTheme="majorBidi"/>
          <w:i/>
          <w:iCs/>
          <w:sz w:val="24"/>
          <w:szCs w:val="24"/>
        </w:rPr>
        <w:t>hizb mufasshal</w:t>
      </w:r>
      <w:r w:rsidRPr="00F36CBC">
        <w:rPr>
          <w:rFonts w:asciiTheme="majorBidi" w:hAnsiTheme="majorBidi"/>
          <w:sz w:val="24"/>
          <w:szCs w:val="24"/>
        </w:rPr>
        <w:t xml:space="preserve"> (surat-surat pendek)”. (HR. Ibnu Majah).</w:t>
      </w:r>
    </w:p>
    <w:p w:rsidR="00B96615" w:rsidRPr="00233090" w:rsidRDefault="00B96615" w:rsidP="00B96615">
      <w:pPr>
        <w:spacing w:line="480" w:lineRule="auto"/>
        <w:ind w:firstLine="720"/>
        <w:rPr>
          <w:rFonts w:ascii="Times New Arabic" w:hAnsi="Times New Arabic"/>
          <w:b/>
          <w:sz w:val="24"/>
          <w:szCs w:val="24"/>
        </w:rPr>
      </w:pPr>
      <w:r w:rsidRPr="00F36CBC">
        <w:rPr>
          <w:rFonts w:asciiTheme="majorBidi" w:hAnsiTheme="majorBidi"/>
          <w:sz w:val="24"/>
          <w:szCs w:val="24"/>
        </w:rPr>
        <w:t xml:space="preserve">Dari keterangan diatas, maka tercetuslah sebuah rumus Fami Bisyauqin yang membaca al-Qur’an menjadi 7 </w:t>
      </w:r>
      <w:r w:rsidRPr="00F36CBC">
        <w:rPr>
          <w:rFonts w:asciiTheme="majorBidi" w:hAnsiTheme="majorBidi"/>
          <w:i/>
          <w:iCs/>
          <w:sz w:val="24"/>
          <w:szCs w:val="24"/>
        </w:rPr>
        <w:t>hizb/manzil</w:t>
      </w:r>
      <w:r w:rsidRPr="00F36CBC">
        <w:rPr>
          <w:rFonts w:asciiTheme="majorBidi" w:hAnsiTheme="majorBidi"/>
          <w:sz w:val="24"/>
          <w:szCs w:val="24"/>
        </w:rPr>
        <w:t xml:space="preserve">, yang masing-masing </w:t>
      </w:r>
      <w:r w:rsidRPr="00F36CBC">
        <w:rPr>
          <w:rFonts w:asciiTheme="majorBidi" w:hAnsiTheme="majorBidi"/>
          <w:i/>
          <w:iCs/>
          <w:sz w:val="24"/>
          <w:szCs w:val="24"/>
        </w:rPr>
        <w:t>hizb</w:t>
      </w:r>
      <w:r w:rsidRPr="00F36CBC">
        <w:rPr>
          <w:rFonts w:asciiTheme="majorBidi" w:hAnsiTheme="majorBidi"/>
          <w:sz w:val="24"/>
          <w:szCs w:val="24"/>
        </w:rPr>
        <w:t xml:space="preserve"> atau </w:t>
      </w:r>
      <w:r w:rsidRPr="00F36CBC">
        <w:rPr>
          <w:rFonts w:asciiTheme="majorBidi" w:hAnsiTheme="majorBidi"/>
          <w:i/>
          <w:iCs/>
          <w:sz w:val="24"/>
          <w:szCs w:val="24"/>
        </w:rPr>
        <w:t>manzil</w:t>
      </w:r>
      <w:r w:rsidRPr="00F36CBC">
        <w:rPr>
          <w:rFonts w:asciiTheme="majorBidi" w:hAnsiTheme="majorBidi"/>
          <w:sz w:val="24"/>
          <w:szCs w:val="24"/>
        </w:rPr>
        <w:t xml:space="preserve">nya terdiri dari 3 surat 5 surat, 7 surat, 9 surat 11 surat, 13 surat dan </w:t>
      </w:r>
      <w:r w:rsidRPr="00F36CBC">
        <w:rPr>
          <w:rFonts w:asciiTheme="majorBidi" w:hAnsiTheme="majorBidi"/>
          <w:i/>
          <w:iCs/>
          <w:sz w:val="24"/>
          <w:szCs w:val="24"/>
        </w:rPr>
        <w:t>hizb munfasshal.</w:t>
      </w:r>
      <w:r w:rsidRPr="00E11D35">
        <w:rPr>
          <w:rStyle w:val="FootnoteReference"/>
          <w:rFonts w:asciiTheme="majorBidi" w:hAnsiTheme="majorBidi"/>
          <w:iCs/>
          <w:sz w:val="24"/>
          <w:szCs w:val="24"/>
        </w:rPr>
        <w:footnoteReference w:id="3"/>
      </w:r>
      <w:r>
        <w:rPr>
          <w:rFonts w:ascii="Times New Roman" w:hAnsi="Times New Roman"/>
          <w:b/>
          <w:sz w:val="24"/>
          <w:szCs w:val="24"/>
        </w:rPr>
        <w:t xml:space="preserve"> </w:t>
      </w:r>
    </w:p>
    <w:p w:rsidR="00B96615" w:rsidRPr="00F36CBC" w:rsidRDefault="00B96615" w:rsidP="00B96615">
      <w:pPr>
        <w:pStyle w:val="ListParagraph"/>
        <w:numPr>
          <w:ilvl w:val="0"/>
          <w:numId w:val="2"/>
        </w:numPr>
        <w:spacing w:after="200" w:line="276" w:lineRule="auto"/>
        <w:ind w:left="284" w:hanging="284"/>
        <w:jc w:val="left"/>
        <w:rPr>
          <w:rFonts w:ascii="Times New Arabic" w:hAnsi="Times New Arabic"/>
          <w:b/>
          <w:sz w:val="24"/>
          <w:szCs w:val="24"/>
        </w:rPr>
      </w:pPr>
      <w:r w:rsidRPr="00233090">
        <w:rPr>
          <w:rFonts w:ascii="Times New Arabic" w:hAnsi="Times New Arabic"/>
          <w:b/>
          <w:sz w:val="24"/>
          <w:szCs w:val="24"/>
        </w:rPr>
        <w:t xml:space="preserve">Langkah-langkah pelaksanaan metode </w:t>
      </w:r>
      <w:r w:rsidRPr="00233090">
        <w:rPr>
          <w:rFonts w:ascii="Times New Arabic" w:hAnsi="Times New Arabic"/>
          <w:b/>
          <w:i/>
          <w:sz w:val="24"/>
          <w:szCs w:val="24"/>
        </w:rPr>
        <w:t xml:space="preserve">fami&lt; bisyauqin </w:t>
      </w:r>
    </w:p>
    <w:p w:rsidR="00B96615" w:rsidRPr="00F36CBC" w:rsidRDefault="00B96615" w:rsidP="00B96615">
      <w:pPr>
        <w:ind w:firstLine="720"/>
        <w:rPr>
          <w:rFonts w:ascii="Times New Arabic" w:hAnsi="Times New Arabic"/>
          <w:b/>
          <w:sz w:val="24"/>
          <w:szCs w:val="24"/>
        </w:rPr>
      </w:pPr>
      <w:r w:rsidRPr="00F36CBC">
        <w:rPr>
          <w:rFonts w:ascii="Times New Roman" w:hAnsi="Times New Roman"/>
          <w:color w:val="000000"/>
          <w:sz w:val="24"/>
          <w:szCs w:val="24"/>
        </w:rPr>
        <w:t xml:space="preserve">Adapun penerapan metode </w:t>
      </w:r>
      <w:r w:rsidRPr="00F36CBC">
        <w:rPr>
          <w:rFonts w:ascii="Times New Arabic" w:hAnsi="Times New Arabic"/>
          <w:i/>
          <w:sz w:val="24"/>
          <w:szCs w:val="24"/>
        </w:rPr>
        <w:t>Fami&gt; Bisyauqin</w:t>
      </w:r>
      <w:r w:rsidRPr="00F36CBC">
        <w:rPr>
          <w:rFonts w:asciiTheme="majorBidi" w:hAnsiTheme="majorBidi"/>
          <w:color w:val="000000"/>
          <w:sz w:val="24"/>
          <w:szCs w:val="24"/>
        </w:rPr>
        <w:t xml:space="preserve"> </w:t>
      </w:r>
      <w:r w:rsidRPr="00F36CBC">
        <w:rPr>
          <w:rFonts w:ascii="Times New Roman" w:hAnsi="Times New Roman"/>
          <w:color w:val="000000"/>
          <w:sz w:val="24"/>
          <w:szCs w:val="24"/>
        </w:rPr>
        <w:t>sebagaimana berikut:</w:t>
      </w:r>
    </w:p>
    <w:p w:rsidR="00B96615" w:rsidRPr="00F36CBC" w:rsidRDefault="00B96615" w:rsidP="00B96615">
      <w:pPr>
        <w:pStyle w:val="ListParagraph"/>
        <w:numPr>
          <w:ilvl w:val="0"/>
          <w:numId w:val="6"/>
        </w:numPr>
        <w:spacing w:after="200" w:line="480" w:lineRule="auto"/>
        <w:ind w:left="284" w:hanging="284"/>
        <w:rPr>
          <w:rFonts w:ascii="Times New Arabic" w:hAnsi="Times New Arabic"/>
          <w:b/>
          <w:sz w:val="24"/>
          <w:szCs w:val="24"/>
        </w:rPr>
      </w:pPr>
      <w:r w:rsidRPr="002A07F6">
        <w:rPr>
          <w:rFonts w:ascii="Times New Roman" w:hAnsi="Times New Roman"/>
          <w:color w:val="000000"/>
          <w:sz w:val="24"/>
          <w:szCs w:val="24"/>
        </w:rPr>
        <w:t>Hari Pertama</w:t>
      </w:r>
    </w:p>
    <w:p w:rsidR="00B96615" w:rsidRPr="00F36CBC" w:rsidRDefault="00B96615" w:rsidP="00B96615">
      <w:pPr>
        <w:pStyle w:val="ListParagraph"/>
        <w:spacing w:line="480" w:lineRule="auto"/>
        <w:ind w:left="0" w:firstLine="720"/>
        <w:rPr>
          <w:rFonts w:ascii="Times New Arabic" w:hAnsi="Times New Arabic"/>
          <w:b/>
          <w:sz w:val="24"/>
          <w:szCs w:val="24"/>
        </w:rPr>
      </w:pPr>
      <w:r w:rsidRPr="00F36CBC">
        <w:rPr>
          <w:rFonts w:ascii="Times New Roman" w:hAnsi="Times New Roman"/>
          <w:color w:val="000000"/>
          <w:sz w:val="24"/>
          <w:szCs w:val="24"/>
        </w:rPr>
        <w:t>Hari Pertama atau hari Jum’at dimulai dengan membaca</w:t>
      </w:r>
      <w:r w:rsidRPr="00F36CBC">
        <w:rPr>
          <w:color w:val="000000"/>
          <w:sz w:val="24"/>
          <w:szCs w:val="24"/>
        </w:rPr>
        <w:br/>
      </w:r>
      <w:r w:rsidRPr="00F36CBC">
        <w:rPr>
          <w:rFonts w:ascii="Times New Roman" w:hAnsi="Times New Roman"/>
          <w:color w:val="000000"/>
          <w:sz w:val="24"/>
          <w:szCs w:val="24"/>
        </w:rPr>
        <w:t>surat al-Fatihah hingga akhir dari surat an-Nissa’. Jika dikalkulasi,surat-surat tersebut akan menjadi 5 juz 2 lembar (4 halaman) 5 baris. Dalam hal ini, perhitungannya menggunakan al-Qur’an ayat pojok. Jadi, dalam satu juznya terdapat 10 lembar, yang terdiri atas20 halaman.</w:t>
      </w:r>
    </w:p>
    <w:p w:rsidR="00B96615" w:rsidRDefault="00B96615" w:rsidP="00B96615">
      <w:pPr>
        <w:pStyle w:val="ListParagraph"/>
        <w:numPr>
          <w:ilvl w:val="0"/>
          <w:numId w:val="6"/>
        </w:numPr>
        <w:spacing w:after="200" w:line="480" w:lineRule="auto"/>
        <w:ind w:left="284" w:hanging="284"/>
        <w:rPr>
          <w:rFonts w:ascii="Times New Roman" w:hAnsi="Times New Roman"/>
          <w:color w:val="000000"/>
          <w:sz w:val="24"/>
          <w:szCs w:val="24"/>
        </w:rPr>
      </w:pPr>
      <w:r w:rsidRPr="0021478C">
        <w:rPr>
          <w:rFonts w:ascii="Times New Roman" w:hAnsi="Times New Roman"/>
          <w:color w:val="000000"/>
          <w:sz w:val="24"/>
          <w:szCs w:val="24"/>
        </w:rPr>
        <w:t>Hari Kedua</w:t>
      </w:r>
    </w:p>
    <w:p w:rsidR="00B96615" w:rsidRDefault="00B96615" w:rsidP="00B96615">
      <w:pPr>
        <w:pStyle w:val="ListParagraph"/>
        <w:spacing w:line="480" w:lineRule="auto"/>
        <w:ind w:left="0" w:firstLine="720"/>
        <w:rPr>
          <w:rFonts w:ascii="Times New Roman" w:hAnsi="Times New Roman"/>
          <w:color w:val="000000"/>
          <w:sz w:val="24"/>
          <w:szCs w:val="24"/>
          <w:lang w:val="en-US"/>
        </w:rPr>
      </w:pPr>
      <w:r w:rsidRPr="00F36CBC">
        <w:rPr>
          <w:rFonts w:ascii="Times New Roman" w:hAnsi="Times New Roman"/>
          <w:color w:val="000000"/>
          <w:sz w:val="24"/>
          <w:szCs w:val="24"/>
        </w:rPr>
        <w:t>Hari kedua atau hari Sabtu untuk meneruskan dari hafalanhari sebelumnya, yaitu dimulai dari surat Al-Maa’idah hingga akhirsurat At-Taubah. Surat-surat tersebut telah dikalkulasi menjadi 5 juz1 lembar, atau 51 lembar, yang sama dengan 102 halaman.</w:t>
      </w:r>
    </w:p>
    <w:p w:rsidR="00B96615" w:rsidRDefault="00B96615" w:rsidP="00B96615">
      <w:pPr>
        <w:pStyle w:val="ListParagraph"/>
        <w:spacing w:line="480" w:lineRule="auto"/>
        <w:ind w:left="0" w:firstLine="720"/>
        <w:rPr>
          <w:rFonts w:ascii="Times New Roman" w:hAnsi="Times New Roman"/>
          <w:color w:val="000000"/>
          <w:sz w:val="24"/>
          <w:szCs w:val="24"/>
          <w:lang w:val="en-US"/>
        </w:rPr>
      </w:pPr>
    </w:p>
    <w:p w:rsidR="00B96615" w:rsidRDefault="00B96615" w:rsidP="00B96615">
      <w:pPr>
        <w:pStyle w:val="ListParagraph"/>
        <w:spacing w:line="480" w:lineRule="auto"/>
        <w:ind w:left="0" w:firstLine="720"/>
        <w:rPr>
          <w:rFonts w:ascii="Times New Roman" w:hAnsi="Times New Roman"/>
          <w:color w:val="000000"/>
          <w:sz w:val="24"/>
          <w:szCs w:val="24"/>
          <w:lang w:val="en-US"/>
        </w:rPr>
      </w:pPr>
    </w:p>
    <w:p w:rsidR="00B96615" w:rsidRPr="00B96615" w:rsidRDefault="00B96615" w:rsidP="00B96615">
      <w:pPr>
        <w:pStyle w:val="ListParagraph"/>
        <w:spacing w:line="480" w:lineRule="auto"/>
        <w:ind w:left="0" w:firstLine="720"/>
        <w:rPr>
          <w:rFonts w:ascii="Times New Roman" w:hAnsi="Times New Roman"/>
          <w:color w:val="000000"/>
          <w:sz w:val="24"/>
          <w:szCs w:val="24"/>
          <w:lang w:val="en-US"/>
        </w:rPr>
      </w:pPr>
    </w:p>
    <w:p w:rsidR="00B96615" w:rsidRDefault="00B96615" w:rsidP="00B96615">
      <w:pPr>
        <w:pStyle w:val="ListParagraph"/>
        <w:numPr>
          <w:ilvl w:val="0"/>
          <w:numId w:val="6"/>
        </w:numPr>
        <w:spacing w:after="200" w:line="480" w:lineRule="auto"/>
        <w:ind w:left="284" w:hanging="284"/>
        <w:rPr>
          <w:rFonts w:ascii="Times New Roman" w:hAnsi="Times New Roman"/>
          <w:color w:val="000000"/>
          <w:sz w:val="24"/>
          <w:szCs w:val="24"/>
        </w:rPr>
      </w:pPr>
      <w:r w:rsidRPr="0021478C">
        <w:rPr>
          <w:rFonts w:ascii="Times New Roman" w:hAnsi="Times New Roman"/>
          <w:color w:val="000000"/>
          <w:sz w:val="24"/>
          <w:szCs w:val="24"/>
        </w:rPr>
        <w:lastRenderedPageBreak/>
        <w:t>Hari Ketiga</w:t>
      </w:r>
    </w:p>
    <w:p w:rsidR="00B96615" w:rsidRPr="00F36CBC" w:rsidRDefault="00B96615" w:rsidP="00B96615">
      <w:pPr>
        <w:pStyle w:val="ListParagraph"/>
        <w:spacing w:line="480" w:lineRule="auto"/>
        <w:ind w:left="0" w:firstLine="720"/>
        <w:rPr>
          <w:rFonts w:ascii="Times New Roman" w:hAnsi="Times New Roman"/>
          <w:color w:val="000000"/>
          <w:sz w:val="24"/>
          <w:szCs w:val="24"/>
        </w:rPr>
      </w:pPr>
      <w:r w:rsidRPr="00F36CBC">
        <w:rPr>
          <w:rFonts w:ascii="Times New Roman" w:hAnsi="Times New Roman"/>
          <w:color w:val="000000"/>
          <w:sz w:val="24"/>
          <w:szCs w:val="24"/>
        </w:rPr>
        <w:t>Hari ketiga atau hari Ahad digunakan untuk melanjutkanhari sebelumnya. Dalam hari ketiga ini dimulai dengan membacasurat Yunus hingga akhir surat an-Nahl. Jika dikalkulasi, surat-surat tersebut menjadi 3 juz 10 lembar.</w:t>
      </w:r>
    </w:p>
    <w:p w:rsidR="00B96615" w:rsidRPr="00F36CBC" w:rsidRDefault="00B96615" w:rsidP="00B96615">
      <w:pPr>
        <w:pStyle w:val="ListParagraph"/>
        <w:numPr>
          <w:ilvl w:val="0"/>
          <w:numId w:val="6"/>
        </w:numPr>
        <w:spacing w:line="480" w:lineRule="auto"/>
        <w:ind w:left="284" w:hanging="284"/>
        <w:rPr>
          <w:rFonts w:ascii="Times New Roman" w:hAnsi="Times New Roman"/>
          <w:b/>
          <w:bCs/>
          <w:sz w:val="24"/>
          <w:szCs w:val="24"/>
        </w:rPr>
      </w:pPr>
      <w:r w:rsidRPr="0021478C">
        <w:rPr>
          <w:rFonts w:ascii="Times New Roman" w:hAnsi="Times New Roman"/>
          <w:color w:val="000000"/>
          <w:sz w:val="24"/>
          <w:szCs w:val="24"/>
        </w:rPr>
        <w:t>Hari Keempat</w:t>
      </w:r>
    </w:p>
    <w:p w:rsidR="00B96615" w:rsidRPr="00F36CBC" w:rsidRDefault="00B96615" w:rsidP="00B96615">
      <w:pPr>
        <w:spacing w:line="480" w:lineRule="auto"/>
        <w:ind w:firstLine="720"/>
        <w:rPr>
          <w:rFonts w:ascii="Times New Roman" w:hAnsi="Times New Roman"/>
          <w:b/>
          <w:bCs/>
          <w:sz w:val="24"/>
          <w:szCs w:val="24"/>
        </w:rPr>
      </w:pPr>
      <w:r w:rsidRPr="00F36CBC">
        <w:rPr>
          <w:rFonts w:ascii="Times New Roman" w:hAnsi="Times New Roman"/>
          <w:color w:val="000000"/>
          <w:sz w:val="24"/>
          <w:szCs w:val="24"/>
        </w:rPr>
        <w:t>Hari keempat atau hari Senin, surat yang akan dibacadimulai dari surat al-Isra’ sampai akhir dari surat al-Furqaan. Biladikalkulasi, surat-surat tersebut menjadi 4 juz 2 lembar dan 1 pojok.</w:t>
      </w:r>
    </w:p>
    <w:p w:rsidR="00B96615" w:rsidRPr="00FC4964" w:rsidRDefault="00B96615" w:rsidP="00B96615">
      <w:pPr>
        <w:pStyle w:val="ListParagraph"/>
        <w:numPr>
          <w:ilvl w:val="0"/>
          <w:numId w:val="6"/>
        </w:numPr>
        <w:spacing w:line="480" w:lineRule="auto"/>
        <w:ind w:left="284" w:hanging="284"/>
        <w:rPr>
          <w:rFonts w:ascii="Times New Roman" w:hAnsi="Times New Roman"/>
          <w:color w:val="000000"/>
          <w:sz w:val="24"/>
          <w:szCs w:val="24"/>
        </w:rPr>
      </w:pPr>
      <w:r w:rsidRPr="0021478C">
        <w:rPr>
          <w:rFonts w:asciiTheme="majorBidi" w:hAnsiTheme="majorBidi"/>
          <w:color w:val="000000"/>
          <w:sz w:val="24"/>
          <w:szCs w:val="24"/>
        </w:rPr>
        <w:t>Hari kelima</w:t>
      </w:r>
    </w:p>
    <w:p w:rsidR="00B96615" w:rsidRPr="00F36CBC" w:rsidRDefault="00B96615" w:rsidP="00B96615">
      <w:pPr>
        <w:spacing w:line="480" w:lineRule="auto"/>
        <w:ind w:firstLine="720"/>
        <w:rPr>
          <w:rFonts w:ascii="Times New Roman" w:hAnsi="Times New Roman"/>
          <w:color w:val="000000"/>
          <w:sz w:val="24"/>
          <w:szCs w:val="24"/>
        </w:rPr>
      </w:pPr>
      <w:r w:rsidRPr="00F36CBC">
        <w:rPr>
          <w:rFonts w:ascii="Times New Roman" w:hAnsi="Times New Roman"/>
          <w:color w:val="000000"/>
          <w:sz w:val="24"/>
          <w:szCs w:val="24"/>
        </w:rPr>
        <w:t>Hari Kelimatau hari Selasa dilanjutkan dengan membacasurat asy-Syu’araa’ sampai akhir surat Yassiin. Jika dikalkulasi,surat-surat tersebut menjadi 3 juz 9 lembar 1 pojok.</w:t>
      </w:r>
    </w:p>
    <w:p w:rsidR="00B96615" w:rsidRPr="00FC4964" w:rsidRDefault="00B96615" w:rsidP="00B96615">
      <w:pPr>
        <w:pStyle w:val="ListParagraph"/>
        <w:numPr>
          <w:ilvl w:val="0"/>
          <w:numId w:val="6"/>
        </w:numPr>
        <w:spacing w:line="480" w:lineRule="auto"/>
        <w:ind w:left="284" w:hanging="284"/>
        <w:rPr>
          <w:rFonts w:ascii="Times New Roman" w:hAnsi="Times New Roman"/>
          <w:color w:val="000000"/>
          <w:sz w:val="24"/>
          <w:szCs w:val="24"/>
        </w:rPr>
      </w:pPr>
      <w:r w:rsidRPr="0021478C">
        <w:rPr>
          <w:rFonts w:asciiTheme="majorBidi" w:hAnsiTheme="majorBidi"/>
          <w:color w:val="000000"/>
          <w:sz w:val="24"/>
          <w:szCs w:val="24"/>
        </w:rPr>
        <w:t>Hari keenam</w:t>
      </w:r>
    </w:p>
    <w:p w:rsidR="00B96615" w:rsidRPr="00FC4964" w:rsidRDefault="00B96615" w:rsidP="00B96615">
      <w:pPr>
        <w:spacing w:line="480" w:lineRule="auto"/>
        <w:ind w:firstLine="720"/>
        <w:rPr>
          <w:rFonts w:ascii="Times New Roman" w:hAnsi="Times New Roman"/>
          <w:color w:val="000000"/>
          <w:sz w:val="24"/>
          <w:szCs w:val="24"/>
        </w:rPr>
      </w:pPr>
      <w:r w:rsidRPr="00FC4964">
        <w:rPr>
          <w:rFonts w:ascii="Times New Roman" w:hAnsi="Times New Roman"/>
          <w:color w:val="000000"/>
          <w:sz w:val="24"/>
          <w:szCs w:val="24"/>
        </w:rPr>
        <w:t>Hari Keenamatau hari Rabu, dilanjutkan dengan membaca dari surat ash-Shaaffaat sampai akhir surat al-Hujuraat.Bila dikalkulasi, surat-surat tersebut menjadi 3 juz 6 lembar.</w:t>
      </w:r>
    </w:p>
    <w:p w:rsidR="00B96615" w:rsidRPr="00FC4964" w:rsidRDefault="00B96615" w:rsidP="00B96615">
      <w:pPr>
        <w:pStyle w:val="ListParagraph"/>
        <w:numPr>
          <w:ilvl w:val="0"/>
          <w:numId w:val="6"/>
        </w:numPr>
        <w:spacing w:line="480" w:lineRule="auto"/>
        <w:ind w:left="284" w:hanging="284"/>
        <w:rPr>
          <w:rFonts w:ascii="Times New Roman" w:hAnsi="Times New Roman"/>
          <w:color w:val="000000"/>
          <w:sz w:val="24"/>
          <w:szCs w:val="24"/>
        </w:rPr>
      </w:pPr>
      <w:r w:rsidRPr="0021478C">
        <w:rPr>
          <w:rFonts w:asciiTheme="majorBidi" w:hAnsiTheme="majorBidi"/>
          <w:color w:val="000000"/>
          <w:sz w:val="24"/>
          <w:szCs w:val="24"/>
        </w:rPr>
        <w:t>Hari ketujuh</w:t>
      </w:r>
    </w:p>
    <w:p w:rsidR="00B96615" w:rsidRDefault="00B96615" w:rsidP="00B96615">
      <w:pPr>
        <w:spacing w:line="480" w:lineRule="auto"/>
        <w:ind w:firstLine="720"/>
        <w:rPr>
          <w:rFonts w:ascii="Times New Roman" w:hAnsi="Times New Roman"/>
          <w:color w:val="000000"/>
          <w:sz w:val="24"/>
          <w:szCs w:val="24"/>
          <w:lang w:val="en-US"/>
        </w:rPr>
      </w:pPr>
      <w:r w:rsidRPr="00FC4964">
        <w:rPr>
          <w:rFonts w:ascii="Times New Roman" w:hAnsi="Times New Roman"/>
          <w:color w:val="000000"/>
          <w:sz w:val="24"/>
          <w:szCs w:val="24"/>
        </w:rPr>
        <w:t>Hari Ketujuhatau hari Kamis, dilanjutkan dengan membaca dari surat Qaaf sampai akhir surat an-Naas. Jika dikalkulasi, surat-surat tersebut menjadi 4 juz 3 lembar 1 pojok</w:t>
      </w:r>
      <w:r>
        <w:rPr>
          <w:rFonts w:ascii="Times New Roman" w:hAnsi="Times New Roman"/>
          <w:color w:val="000000"/>
          <w:sz w:val="24"/>
          <w:szCs w:val="24"/>
          <w:lang w:val="en-US"/>
        </w:rPr>
        <w:t>.</w:t>
      </w:r>
    </w:p>
    <w:p w:rsidR="00B96615" w:rsidRDefault="00B96615" w:rsidP="00B96615">
      <w:pPr>
        <w:spacing w:line="480" w:lineRule="auto"/>
        <w:ind w:firstLine="720"/>
        <w:rPr>
          <w:rFonts w:ascii="Times New Roman" w:hAnsi="Times New Roman"/>
          <w:color w:val="000000"/>
          <w:sz w:val="24"/>
          <w:szCs w:val="24"/>
          <w:lang w:val="en-US"/>
        </w:rPr>
      </w:pPr>
    </w:p>
    <w:p w:rsidR="00B96615" w:rsidRDefault="00B96615" w:rsidP="00B96615">
      <w:pPr>
        <w:spacing w:line="480" w:lineRule="auto"/>
        <w:ind w:firstLine="720"/>
        <w:rPr>
          <w:rFonts w:ascii="Times New Roman" w:hAnsi="Times New Roman"/>
          <w:color w:val="000000"/>
          <w:sz w:val="24"/>
          <w:szCs w:val="24"/>
          <w:lang w:val="en-US"/>
        </w:rPr>
      </w:pPr>
    </w:p>
    <w:p w:rsidR="00B96615" w:rsidRPr="009F3B27" w:rsidRDefault="00B96615" w:rsidP="00B96615">
      <w:pPr>
        <w:spacing w:line="480" w:lineRule="auto"/>
        <w:ind w:firstLine="720"/>
        <w:rPr>
          <w:rFonts w:ascii="Times New Roman" w:hAnsi="Times New Roman"/>
          <w:color w:val="000000"/>
          <w:sz w:val="24"/>
          <w:szCs w:val="24"/>
          <w:lang w:val="en-US"/>
        </w:rPr>
      </w:pPr>
    </w:p>
    <w:p w:rsidR="00B96615" w:rsidRPr="004708AA" w:rsidRDefault="00B96615" w:rsidP="00B96615">
      <w:pPr>
        <w:pStyle w:val="ListParagraph"/>
        <w:numPr>
          <w:ilvl w:val="0"/>
          <w:numId w:val="2"/>
        </w:numPr>
        <w:spacing w:after="200" w:line="276" w:lineRule="auto"/>
        <w:ind w:left="284" w:hanging="284"/>
        <w:jc w:val="left"/>
        <w:rPr>
          <w:rFonts w:ascii="Times New Arabic" w:hAnsi="Times New Arabic"/>
          <w:b/>
          <w:sz w:val="24"/>
          <w:szCs w:val="24"/>
        </w:rPr>
      </w:pPr>
      <w:r w:rsidRPr="009B18D5">
        <w:rPr>
          <w:rFonts w:ascii="Times New Roman" w:hAnsi="Times New Roman"/>
          <w:b/>
          <w:sz w:val="24"/>
          <w:szCs w:val="24"/>
        </w:rPr>
        <w:lastRenderedPageBreak/>
        <w:t>Kelemahan</w:t>
      </w:r>
      <w:r w:rsidRPr="00233090">
        <w:rPr>
          <w:rFonts w:ascii="Times New Arabic" w:hAnsi="Times New Arabic"/>
          <w:b/>
          <w:sz w:val="24"/>
          <w:szCs w:val="24"/>
        </w:rPr>
        <w:t xml:space="preserve"> </w:t>
      </w:r>
      <w:r w:rsidRPr="009B18D5">
        <w:rPr>
          <w:rFonts w:ascii="Times New Roman" w:hAnsi="Times New Roman"/>
          <w:b/>
          <w:sz w:val="24"/>
          <w:szCs w:val="24"/>
        </w:rPr>
        <w:t>dan kekurangan metode</w:t>
      </w:r>
      <w:r>
        <w:rPr>
          <w:rFonts w:ascii="Times New Arabic" w:hAnsi="Times New Arabic"/>
          <w:b/>
          <w:sz w:val="24"/>
          <w:szCs w:val="24"/>
        </w:rPr>
        <w:t xml:space="preserve"> </w:t>
      </w:r>
      <w:r w:rsidRPr="00233090">
        <w:rPr>
          <w:rFonts w:ascii="Times New Arabic" w:hAnsi="Times New Arabic"/>
          <w:b/>
          <w:i/>
          <w:sz w:val="24"/>
          <w:szCs w:val="24"/>
        </w:rPr>
        <w:t xml:space="preserve">fami&lt; bisyauqin </w:t>
      </w:r>
    </w:p>
    <w:p w:rsidR="00B96615" w:rsidRPr="00F36CBC" w:rsidRDefault="00B96615" w:rsidP="00B96615">
      <w:pPr>
        <w:spacing w:line="480" w:lineRule="auto"/>
        <w:ind w:firstLine="720"/>
        <w:rPr>
          <w:rFonts w:ascii="Times New Arabic" w:hAnsi="Times New Arabic"/>
          <w:b/>
          <w:sz w:val="24"/>
          <w:szCs w:val="24"/>
        </w:rPr>
      </w:pPr>
      <w:r w:rsidRPr="00F36CBC">
        <w:rPr>
          <w:rFonts w:ascii="Times New Roman" w:hAnsi="Times New Roman"/>
          <w:sz w:val="24"/>
          <w:szCs w:val="24"/>
        </w:rPr>
        <w:t xml:space="preserve">Semua metode dalam pencapain keberhasilan  pasti mempunyai kelemahan dan kekurangan, adapun kelemahan dan dari metode </w:t>
      </w:r>
      <w:r w:rsidRPr="00F36CBC">
        <w:rPr>
          <w:rFonts w:ascii="Times New Arabic" w:hAnsi="Times New Arabic"/>
          <w:i/>
          <w:sz w:val="24"/>
          <w:szCs w:val="24"/>
        </w:rPr>
        <w:t>Fami&gt; Bisyauqin</w:t>
      </w:r>
      <w:r w:rsidRPr="00F36CBC">
        <w:rPr>
          <w:rFonts w:asciiTheme="majorBidi" w:hAnsiTheme="majorBidi"/>
          <w:color w:val="000000"/>
          <w:sz w:val="24"/>
          <w:szCs w:val="24"/>
        </w:rPr>
        <w:t xml:space="preserve"> </w:t>
      </w:r>
      <w:r w:rsidRPr="00F36CBC">
        <w:rPr>
          <w:rFonts w:ascii="Times New Roman" w:hAnsi="Times New Roman"/>
          <w:sz w:val="24"/>
          <w:szCs w:val="24"/>
        </w:rPr>
        <w:t>yaitu :</w:t>
      </w:r>
    </w:p>
    <w:p w:rsidR="00B96615" w:rsidRDefault="00B96615" w:rsidP="00B96615">
      <w:pPr>
        <w:pStyle w:val="ListParagraph"/>
        <w:numPr>
          <w:ilvl w:val="0"/>
          <w:numId w:val="4"/>
        </w:numPr>
        <w:spacing w:line="480" w:lineRule="auto"/>
        <w:ind w:left="284" w:hanging="284"/>
        <w:rPr>
          <w:rFonts w:ascii="Times New Roman" w:hAnsi="Times New Roman"/>
          <w:sz w:val="24"/>
          <w:szCs w:val="24"/>
        </w:rPr>
      </w:pPr>
      <w:r>
        <w:rPr>
          <w:rFonts w:ascii="Times New Roman" w:hAnsi="Times New Roman"/>
          <w:sz w:val="24"/>
          <w:szCs w:val="24"/>
        </w:rPr>
        <w:t>Keterbatasan waktu</w:t>
      </w:r>
    </w:p>
    <w:p w:rsidR="00B96615" w:rsidRDefault="00B96615" w:rsidP="00B96615">
      <w:pPr>
        <w:spacing w:line="480" w:lineRule="auto"/>
        <w:ind w:firstLine="720"/>
        <w:rPr>
          <w:rFonts w:ascii="Times New Roman" w:hAnsi="Times New Roman"/>
          <w:sz w:val="24"/>
          <w:szCs w:val="24"/>
        </w:rPr>
      </w:pPr>
      <w:r w:rsidRPr="00D914D9">
        <w:rPr>
          <w:rFonts w:ascii="Times New Roman" w:hAnsi="Times New Roman"/>
          <w:sz w:val="24"/>
          <w:szCs w:val="24"/>
        </w:rPr>
        <w:t xml:space="preserve">Seseorang yang  belajar Al Qur’an dan menggunakan metode </w:t>
      </w:r>
      <w:r w:rsidRPr="00D914D9">
        <w:rPr>
          <w:rFonts w:ascii="Times New Arabic" w:hAnsi="Times New Arabic"/>
          <w:i/>
          <w:sz w:val="24"/>
          <w:szCs w:val="24"/>
        </w:rPr>
        <w:t>Fami&gt; Bisyauqin</w:t>
      </w:r>
      <w:r w:rsidRPr="00D914D9">
        <w:rPr>
          <w:rFonts w:asciiTheme="majorBidi" w:hAnsiTheme="majorBidi"/>
          <w:color w:val="000000"/>
          <w:sz w:val="24"/>
          <w:szCs w:val="24"/>
        </w:rPr>
        <w:t xml:space="preserve"> </w:t>
      </w:r>
      <w:r w:rsidRPr="00D914D9">
        <w:rPr>
          <w:rFonts w:asciiTheme="majorBidi" w:hAnsiTheme="majorBidi"/>
          <w:sz w:val="24"/>
          <w:szCs w:val="24"/>
        </w:rPr>
        <w:t xml:space="preserve">yakni bacaannya dalam waktu 7 hari, jika ia tersibukkan dengan hal lain yang membuat ia tidak membaca, maka ia wajib </w:t>
      </w:r>
      <w:r w:rsidRPr="00D914D9">
        <w:rPr>
          <w:rFonts w:asciiTheme="majorBidi" w:hAnsiTheme="majorBidi"/>
          <w:i/>
          <w:iCs/>
          <w:sz w:val="24"/>
          <w:szCs w:val="24"/>
        </w:rPr>
        <w:t>mengqhodo’</w:t>
      </w:r>
      <w:r w:rsidRPr="00D914D9">
        <w:rPr>
          <w:rFonts w:asciiTheme="majorBidi" w:hAnsiTheme="majorBidi"/>
          <w:sz w:val="24"/>
          <w:szCs w:val="24"/>
        </w:rPr>
        <w:t xml:space="preserve"> (membayar hutang pada saat tidak membaca), karna dalam keberhasilan metode </w:t>
      </w:r>
      <w:r w:rsidRPr="00D914D9">
        <w:rPr>
          <w:rFonts w:ascii="Times New Arabic" w:hAnsi="Times New Arabic"/>
          <w:i/>
          <w:sz w:val="24"/>
          <w:szCs w:val="24"/>
        </w:rPr>
        <w:t>Fami&gt; Bisyauqin</w:t>
      </w:r>
      <w:r w:rsidRPr="00D914D9">
        <w:rPr>
          <w:rFonts w:asciiTheme="majorBidi" w:hAnsiTheme="majorBidi"/>
          <w:color w:val="000000"/>
          <w:sz w:val="24"/>
          <w:szCs w:val="24"/>
        </w:rPr>
        <w:t xml:space="preserve"> </w:t>
      </w:r>
      <w:r w:rsidRPr="00D914D9">
        <w:rPr>
          <w:rFonts w:asciiTheme="majorBidi" w:hAnsiTheme="majorBidi"/>
          <w:sz w:val="24"/>
          <w:szCs w:val="24"/>
        </w:rPr>
        <w:t xml:space="preserve">ini sangat erat hubungannya dengan istiqomah (terus-menerus dalam membaca), untuk menunjang keberhasilan dalam sebuah metode </w:t>
      </w:r>
      <w:r w:rsidRPr="00D914D9">
        <w:rPr>
          <w:rFonts w:ascii="Times New Arabic" w:hAnsi="Times New Arabic"/>
          <w:i/>
          <w:sz w:val="24"/>
          <w:szCs w:val="24"/>
        </w:rPr>
        <w:t>Fami&gt; Bisyauqin</w:t>
      </w:r>
      <w:r w:rsidRPr="00D914D9">
        <w:rPr>
          <w:rFonts w:asciiTheme="majorBidi" w:hAnsiTheme="majorBidi"/>
          <w:color w:val="000000"/>
          <w:sz w:val="24"/>
          <w:szCs w:val="24"/>
        </w:rPr>
        <w:t xml:space="preserve"> </w:t>
      </w:r>
      <w:r w:rsidRPr="00D914D9">
        <w:rPr>
          <w:rFonts w:asciiTheme="majorBidi" w:hAnsiTheme="majorBidi"/>
          <w:sz w:val="24"/>
          <w:szCs w:val="24"/>
        </w:rPr>
        <w:t>Membutuhkan waktu yang lama</w:t>
      </w:r>
      <w:r>
        <w:rPr>
          <w:rFonts w:ascii="Times New Roman" w:hAnsi="Times New Roman"/>
          <w:sz w:val="24"/>
          <w:szCs w:val="24"/>
        </w:rPr>
        <w:t>.</w:t>
      </w:r>
    </w:p>
    <w:p w:rsidR="00B96615" w:rsidRPr="00501A03" w:rsidRDefault="00B96615" w:rsidP="00B96615">
      <w:pPr>
        <w:spacing w:line="480" w:lineRule="auto"/>
        <w:ind w:firstLine="720"/>
        <w:rPr>
          <w:rFonts w:ascii="Times New Arabic" w:hAnsi="Times New Arabic"/>
          <w:b/>
          <w:sz w:val="24"/>
          <w:szCs w:val="24"/>
        </w:rPr>
      </w:pPr>
      <w:r w:rsidRPr="00D914D9">
        <w:rPr>
          <w:rFonts w:asciiTheme="majorBidi" w:hAnsiTheme="majorBidi"/>
          <w:sz w:val="24"/>
          <w:szCs w:val="24"/>
        </w:rPr>
        <w:t xml:space="preserve">Pada penerapan metode </w:t>
      </w:r>
      <w:r w:rsidRPr="00D914D9">
        <w:rPr>
          <w:rFonts w:ascii="Times New Arabic" w:hAnsi="Times New Arabic"/>
          <w:i/>
          <w:sz w:val="24"/>
          <w:szCs w:val="24"/>
        </w:rPr>
        <w:t>Fami&gt; Bisyauqin</w:t>
      </w:r>
      <w:r w:rsidRPr="00D914D9">
        <w:rPr>
          <w:rFonts w:asciiTheme="majorBidi" w:hAnsiTheme="majorBidi"/>
          <w:color w:val="000000"/>
          <w:sz w:val="24"/>
          <w:szCs w:val="24"/>
        </w:rPr>
        <w:t xml:space="preserve"> </w:t>
      </w:r>
      <w:r w:rsidRPr="00D914D9">
        <w:rPr>
          <w:rFonts w:asciiTheme="majorBidi" w:hAnsiTheme="majorBidi"/>
          <w:sz w:val="24"/>
          <w:szCs w:val="24"/>
        </w:rPr>
        <w:t xml:space="preserve">ini bisa membutuhkan waktu yang lama bagi santri </w:t>
      </w:r>
      <w:r w:rsidRPr="00D914D9">
        <w:rPr>
          <w:rFonts w:ascii="Times New Arabic" w:hAnsi="Times New Arabic"/>
          <w:i/>
          <w:sz w:val="24"/>
          <w:szCs w:val="24"/>
        </w:rPr>
        <w:t>binnaz}ar</w:t>
      </w:r>
      <w:r w:rsidRPr="00D914D9">
        <w:rPr>
          <w:rFonts w:ascii="Times New Arabic" w:hAnsi="Times New Arabic"/>
          <w:sz w:val="24"/>
          <w:szCs w:val="24"/>
        </w:rPr>
        <w:t>,</w:t>
      </w:r>
      <w:r w:rsidRPr="00D914D9">
        <w:rPr>
          <w:rFonts w:asciiTheme="majorBidi" w:hAnsiTheme="majorBidi"/>
          <w:sz w:val="24"/>
          <w:szCs w:val="24"/>
        </w:rPr>
        <w:t xml:space="preserve"> karna dalam pelaksanaan metode </w:t>
      </w:r>
      <w:r w:rsidRPr="00D914D9">
        <w:rPr>
          <w:rFonts w:ascii="Times New Arabic" w:hAnsi="Times New Arabic"/>
          <w:i/>
          <w:sz w:val="24"/>
          <w:szCs w:val="24"/>
        </w:rPr>
        <w:t>Fami&gt; Bisyauqin</w:t>
      </w:r>
      <w:r w:rsidRPr="00D914D9">
        <w:rPr>
          <w:rFonts w:asciiTheme="majorBidi" w:hAnsiTheme="majorBidi"/>
          <w:sz w:val="24"/>
          <w:szCs w:val="24"/>
        </w:rPr>
        <w:t xml:space="preserve"> itu bersama sama cara membacanya.</w:t>
      </w:r>
    </w:p>
    <w:p w:rsidR="00B96615" w:rsidRPr="009B18D5" w:rsidRDefault="00B96615" w:rsidP="00B96615">
      <w:pPr>
        <w:pStyle w:val="ListParagraph"/>
        <w:numPr>
          <w:ilvl w:val="0"/>
          <w:numId w:val="1"/>
        </w:numPr>
        <w:spacing w:after="200" w:line="480" w:lineRule="auto"/>
        <w:ind w:left="426" w:hanging="426"/>
        <w:jc w:val="left"/>
        <w:rPr>
          <w:rFonts w:ascii="Times New Roman" w:hAnsi="Times New Roman"/>
          <w:b/>
          <w:sz w:val="24"/>
          <w:szCs w:val="24"/>
        </w:rPr>
      </w:pPr>
      <w:r w:rsidRPr="009B18D5">
        <w:rPr>
          <w:rFonts w:ascii="Times New Roman" w:hAnsi="Times New Roman"/>
          <w:b/>
          <w:sz w:val="24"/>
          <w:szCs w:val="24"/>
        </w:rPr>
        <w:t>Kemampuan Membaca Al Qur’an</w:t>
      </w:r>
    </w:p>
    <w:p w:rsidR="00B96615" w:rsidRDefault="00B96615" w:rsidP="00B96615">
      <w:pPr>
        <w:pStyle w:val="ListParagraph"/>
        <w:numPr>
          <w:ilvl w:val="0"/>
          <w:numId w:val="3"/>
        </w:numPr>
        <w:spacing w:after="200" w:line="276" w:lineRule="auto"/>
        <w:ind w:left="709" w:hanging="284"/>
        <w:jc w:val="left"/>
        <w:rPr>
          <w:rFonts w:ascii="Times New Roman" w:hAnsi="Times New Roman"/>
          <w:b/>
          <w:sz w:val="24"/>
          <w:szCs w:val="24"/>
        </w:rPr>
      </w:pPr>
      <w:r w:rsidRPr="009B18D5">
        <w:rPr>
          <w:rFonts w:ascii="Times New Roman" w:hAnsi="Times New Roman"/>
          <w:b/>
          <w:sz w:val="24"/>
          <w:szCs w:val="24"/>
        </w:rPr>
        <w:t>Pengertian Membaca Al  Qur’an</w:t>
      </w:r>
    </w:p>
    <w:p w:rsidR="00B96615" w:rsidRDefault="00B96615" w:rsidP="00B96615">
      <w:pPr>
        <w:spacing w:line="480" w:lineRule="auto"/>
        <w:ind w:firstLine="720"/>
        <w:rPr>
          <w:rFonts w:ascii="Times New Roman" w:hAnsi="Times New Roman"/>
          <w:b/>
          <w:sz w:val="24"/>
          <w:szCs w:val="24"/>
        </w:rPr>
      </w:pPr>
      <w:r w:rsidRPr="00D914D9">
        <w:rPr>
          <w:rFonts w:asciiTheme="majorBidi" w:hAnsiTheme="majorBidi"/>
          <w:bCs/>
          <w:sz w:val="24"/>
          <w:szCs w:val="24"/>
        </w:rPr>
        <w:t xml:space="preserve">Membaca disini mempunyai pengertian: melafalkan, kerena dalam fase tersebut belum di berikan tentang isi teks, sedangan yang di maksud belajar </w:t>
      </w:r>
      <w:r w:rsidRPr="00D914D9">
        <w:rPr>
          <w:rFonts w:asciiTheme="majorBidi" w:hAnsiTheme="majorBidi"/>
          <w:sz w:val="24"/>
          <w:szCs w:val="24"/>
        </w:rPr>
        <w:t>Al Qur’an</w:t>
      </w:r>
      <w:r w:rsidRPr="00D914D9">
        <w:rPr>
          <w:rFonts w:asciiTheme="majorBidi" w:hAnsiTheme="majorBidi"/>
          <w:bCs/>
          <w:sz w:val="24"/>
          <w:szCs w:val="24"/>
        </w:rPr>
        <w:t xml:space="preserve"> adalah membaca sampai lancar dengan ucapan yang fasih sesuai dengan kaidah bacaan dan tajwid, belajar memahami makna-makna yang terkandung di dalam </w:t>
      </w:r>
      <w:r w:rsidRPr="00D914D9">
        <w:rPr>
          <w:rFonts w:asciiTheme="majorBidi" w:hAnsiTheme="majorBidi"/>
          <w:sz w:val="24"/>
          <w:szCs w:val="24"/>
        </w:rPr>
        <w:t>Al Qur’an</w:t>
      </w:r>
      <w:r w:rsidRPr="00D914D9">
        <w:rPr>
          <w:rFonts w:asciiTheme="majorBidi" w:hAnsiTheme="majorBidi"/>
          <w:bCs/>
          <w:sz w:val="24"/>
          <w:szCs w:val="24"/>
        </w:rPr>
        <w:t xml:space="preserve"> dan belajar menghafalkan di luar kepala.</w:t>
      </w:r>
      <w:r>
        <w:rPr>
          <w:rStyle w:val="FootnoteReference"/>
          <w:rFonts w:asciiTheme="majorBidi" w:hAnsiTheme="majorBidi"/>
          <w:bCs/>
          <w:sz w:val="24"/>
          <w:szCs w:val="24"/>
        </w:rPr>
        <w:footnoteReference w:id="4"/>
      </w:r>
    </w:p>
    <w:p w:rsidR="00B96615" w:rsidRDefault="00B96615" w:rsidP="00B96615">
      <w:pPr>
        <w:spacing w:line="480" w:lineRule="auto"/>
        <w:ind w:firstLine="720"/>
        <w:rPr>
          <w:rFonts w:ascii="Times New Roman" w:hAnsi="Times New Roman"/>
          <w:b/>
          <w:sz w:val="24"/>
          <w:szCs w:val="24"/>
        </w:rPr>
      </w:pPr>
      <w:r>
        <w:rPr>
          <w:rFonts w:ascii="Times New Roman" w:hAnsi="Times New Roman"/>
          <w:sz w:val="24"/>
          <w:szCs w:val="24"/>
        </w:rPr>
        <w:lastRenderedPageBreak/>
        <w:t xml:space="preserve">Pembelajaran membaca al </w:t>
      </w:r>
      <w:r w:rsidRPr="009B18D5">
        <w:rPr>
          <w:rFonts w:ascii="Times New Roman" w:hAnsi="Times New Roman"/>
          <w:sz w:val="24"/>
          <w:szCs w:val="24"/>
        </w:rPr>
        <w:t>Qur’an merupakan suatu kegiatan yang secara sengaja dilakukan untuk menciptakan suatu aktivitas belajar agar dapat membaca al-Qur’an dengan baik dan benar serta diharapkan dapat menghafal, memahami, dan mengamalkan isi yang terkandung dalam al-Qur’an.</w:t>
      </w:r>
      <w:r>
        <w:rPr>
          <w:rStyle w:val="FootnoteReference"/>
          <w:rFonts w:ascii="Times New Roman" w:hAnsi="Times New Roman"/>
          <w:sz w:val="24"/>
          <w:szCs w:val="24"/>
        </w:rPr>
        <w:footnoteReference w:id="5"/>
      </w:r>
      <w:r w:rsidRPr="009B18D5">
        <w:rPr>
          <w:rFonts w:ascii="Times New Roman" w:hAnsi="Times New Roman"/>
          <w:sz w:val="24"/>
          <w:szCs w:val="24"/>
        </w:rPr>
        <w:t xml:space="preserve"> </w:t>
      </w:r>
    </w:p>
    <w:p w:rsidR="00B96615" w:rsidRPr="00737628" w:rsidRDefault="00B96615" w:rsidP="00B96615">
      <w:pPr>
        <w:spacing w:line="480" w:lineRule="auto"/>
        <w:ind w:firstLine="720"/>
        <w:rPr>
          <w:rFonts w:asciiTheme="majorBidi" w:hAnsiTheme="majorBidi"/>
          <w:bCs/>
          <w:sz w:val="24"/>
          <w:szCs w:val="24"/>
        </w:rPr>
      </w:pPr>
      <w:r w:rsidRPr="009B18D5">
        <w:rPr>
          <w:rFonts w:ascii="Times New Roman" w:hAnsi="Times New Roman"/>
          <w:sz w:val="24"/>
          <w:szCs w:val="24"/>
        </w:rPr>
        <w:t>Membaca adalah melihat tulisan dan mengerti dan dapat melisankan apa yang tertulis didalam buku itu. Membaca juga dapat diartikan kunci pertama dasar pembelajaran Al-Qur`an.</w:t>
      </w:r>
      <w:r>
        <w:rPr>
          <w:rStyle w:val="FootnoteReference"/>
          <w:rFonts w:ascii="Times New Roman" w:hAnsi="Times New Roman"/>
          <w:sz w:val="24"/>
          <w:szCs w:val="24"/>
        </w:rPr>
        <w:footnoteReference w:id="6"/>
      </w:r>
      <w:r w:rsidRPr="009B18D5">
        <w:rPr>
          <w:rFonts w:ascii="Times New Roman" w:hAnsi="Times New Roman"/>
          <w:sz w:val="24"/>
          <w:szCs w:val="24"/>
        </w:rPr>
        <w:t xml:space="preserve"> Maka dari itu Pernyataan tersebut sangat penting bagi seorang yang belajar dan melakukan kegiatan membaca Al Qur’an</w:t>
      </w:r>
      <w:r>
        <w:rPr>
          <w:rFonts w:ascii="Times New Roman" w:hAnsi="Times New Roman"/>
          <w:sz w:val="24"/>
          <w:szCs w:val="24"/>
          <w:lang w:val="en-US"/>
        </w:rPr>
        <w:t>.</w:t>
      </w:r>
    </w:p>
    <w:p w:rsidR="00B96615" w:rsidRPr="00D914D9" w:rsidRDefault="00B96615" w:rsidP="00B96615">
      <w:pPr>
        <w:pStyle w:val="ListParagraph"/>
        <w:numPr>
          <w:ilvl w:val="0"/>
          <w:numId w:val="3"/>
        </w:numPr>
        <w:spacing w:line="480" w:lineRule="auto"/>
        <w:ind w:left="284" w:hanging="284"/>
        <w:rPr>
          <w:rFonts w:asciiTheme="majorBidi" w:hAnsiTheme="majorBidi"/>
          <w:b/>
          <w:bCs/>
          <w:sz w:val="24"/>
          <w:szCs w:val="24"/>
        </w:rPr>
      </w:pPr>
      <w:r w:rsidRPr="00F12613">
        <w:rPr>
          <w:rFonts w:ascii="Times New Roman" w:hAnsi="Times New Roman"/>
          <w:b/>
          <w:sz w:val="24"/>
          <w:szCs w:val="24"/>
        </w:rPr>
        <w:t>Metod</w:t>
      </w:r>
      <w:r>
        <w:rPr>
          <w:rFonts w:ascii="Times New Roman" w:hAnsi="Times New Roman"/>
          <w:b/>
          <w:sz w:val="24"/>
          <w:szCs w:val="24"/>
        </w:rPr>
        <w:t>e membaca Al Q</w:t>
      </w:r>
      <w:r w:rsidRPr="00F12613">
        <w:rPr>
          <w:rFonts w:ascii="Times New Roman" w:hAnsi="Times New Roman"/>
          <w:b/>
          <w:sz w:val="24"/>
          <w:szCs w:val="24"/>
        </w:rPr>
        <w:t>ur’an</w:t>
      </w:r>
    </w:p>
    <w:p w:rsidR="00B96615" w:rsidRPr="000400B6" w:rsidRDefault="00B96615" w:rsidP="00B96615">
      <w:pPr>
        <w:spacing w:line="480" w:lineRule="auto"/>
        <w:ind w:firstLine="720"/>
        <w:rPr>
          <w:rFonts w:ascii="Times New Roman" w:hAnsi="Times New Roman"/>
          <w:sz w:val="24"/>
          <w:szCs w:val="24"/>
          <w:lang w:val="en-US"/>
        </w:rPr>
      </w:pPr>
      <w:r w:rsidRPr="00D914D9">
        <w:rPr>
          <w:rFonts w:ascii="Times New Roman" w:hAnsi="Times New Roman"/>
          <w:sz w:val="24"/>
          <w:szCs w:val="24"/>
        </w:rPr>
        <w:t>Metode membaca al quran ada  Beberapa metode yang cukup popular, antara lain adalah metode Iqra’, metode al-Barqy, metode Qiro’ati, dan metode yanbu’a.</w:t>
      </w:r>
    </w:p>
    <w:p w:rsidR="00B96615" w:rsidRPr="009B18D5" w:rsidRDefault="00B96615" w:rsidP="00B96615">
      <w:pPr>
        <w:pStyle w:val="ListParagraph"/>
        <w:numPr>
          <w:ilvl w:val="0"/>
          <w:numId w:val="5"/>
        </w:numPr>
        <w:spacing w:after="200" w:line="480" w:lineRule="auto"/>
        <w:ind w:left="284" w:hanging="284"/>
        <w:rPr>
          <w:rFonts w:asciiTheme="majorBidi" w:hAnsiTheme="majorBidi"/>
          <w:b/>
          <w:bCs/>
          <w:sz w:val="24"/>
          <w:szCs w:val="24"/>
        </w:rPr>
      </w:pPr>
      <w:r>
        <w:rPr>
          <w:rFonts w:ascii="Times New Roman" w:hAnsi="Times New Roman"/>
          <w:sz w:val="24"/>
          <w:szCs w:val="24"/>
        </w:rPr>
        <w:t>Metode I</w:t>
      </w:r>
      <w:r w:rsidRPr="009B18D5">
        <w:rPr>
          <w:rFonts w:ascii="Times New Roman" w:hAnsi="Times New Roman"/>
          <w:sz w:val="24"/>
          <w:szCs w:val="24"/>
        </w:rPr>
        <w:t>qra yaitu metode yang menggunakan jilid dan ada 1-6 jilid.</w:t>
      </w:r>
      <w:r>
        <w:rPr>
          <w:rStyle w:val="FootnoteReference"/>
          <w:rFonts w:ascii="Times New Roman" w:hAnsi="Times New Roman"/>
          <w:sz w:val="24"/>
          <w:szCs w:val="24"/>
        </w:rPr>
        <w:footnoteReference w:id="7"/>
      </w:r>
    </w:p>
    <w:p w:rsidR="00B96615" w:rsidRPr="00D9623A" w:rsidRDefault="00B96615" w:rsidP="00B96615">
      <w:pPr>
        <w:pStyle w:val="ListParagraph"/>
        <w:numPr>
          <w:ilvl w:val="0"/>
          <w:numId w:val="5"/>
        </w:numPr>
        <w:spacing w:after="200" w:line="480" w:lineRule="auto"/>
        <w:ind w:left="284" w:hanging="284"/>
        <w:rPr>
          <w:rFonts w:ascii="Times New Roman" w:hAnsi="Times New Roman"/>
          <w:bCs/>
          <w:sz w:val="24"/>
          <w:szCs w:val="24"/>
        </w:rPr>
      </w:pPr>
      <w:r>
        <w:rPr>
          <w:rFonts w:ascii="Times New Roman" w:hAnsi="Times New Roman"/>
          <w:sz w:val="24"/>
          <w:szCs w:val="24"/>
        </w:rPr>
        <w:t>Metode Al barqy yaitu metode yang menggunakan titian ingatan untuk mengenalkan bunyi dan bentuk huruf dan di kenalkan langsung dengan harokat dan hokum bacaan tajwid.</w:t>
      </w:r>
      <w:r>
        <w:rPr>
          <w:rStyle w:val="FootnoteReference"/>
          <w:rFonts w:ascii="Times New Roman" w:hAnsi="Times New Roman"/>
          <w:sz w:val="24"/>
          <w:szCs w:val="24"/>
        </w:rPr>
        <w:footnoteReference w:id="8"/>
      </w:r>
    </w:p>
    <w:p w:rsidR="00B96615" w:rsidRPr="00B06154" w:rsidRDefault="00B96615" w:rsidP="00B96615">
      <w:pPr>
        <w:pStyle w:val="ListParagraph"/>
        <w:numPr>
          <w:ilvl w:val="0"/>
          <w:numId w:val="5"/>
        </w:numPr>
        <w:spacing w:after="200" w:line="480" w:lineRule="auto"/>
        <w:ind w:left="284" w:hanging="284"/>
        <w:rPr>
          <w:rFonts w:ascii="Times New Roman" w:hAnsi="Times New Roman"/>
          <w:bCs/>
          <w:sz w:val="24"/>
          <w:szCs w:val="24"/>
        </w:rPr>
      </w:pPr>
      <w:r>
        <w:rPr>
          <w:rFonts w:ascii="Times New Roman" w:hAnsi="Times New Roman"/>
          <w:sz w:val="24"/>
          <w:szCs w:val="24"/>
        </w:rPr>
        <w:t>Metode Qiro’ati yaitu metode membaca Al Qur’an dengan tartil dan menggunakan ilmu tajwid</w:t>
      </w:r>
    </w:p>
    <w:p w:rsidR="00B96615" w:rsidRPr="00B66934" w:rsidRDefault="00B96615" w:rsidP="00B96615">
      <w:pPr>
        <w:pStyle w:val="ListParagraph"/>
        <w:numPr>
          <w:ilvl w:val="0"/>
          <w:numId w:val="5"/>
        </w:numPr>
        <w:spacing w:after="200" w:line="480" w:lineRule="auto"/>
        <w:ind w:left="284" w:hanging="284"/>
        <w:rPr>
          <w:rFonts w:ascii="Times New Roman" w:hAnsi="Times New Roman"/>
          <w:bCs/>
          <w:sz w:val="24"/>
          <w:szCs w:val="24"/>
        </w:rPr>
      </w:pPr>
      <w:r>
        <w:rPr>
          <w:rFonts w:ascii="Times New Roman" w:hAnsi="Times New Roman"/>
          <w:bCs/>
          <w:sz w:val="24"/>
          <w:szCs w:val="24"/>
        </w:rPr>
        <w:lastRenderedPageBreak/>
        <w:t>Metode Yanbu’a yaitu metode pelejaran Al Qur’an  dengan membaca, menulis dan menghafal Al Qur’an di susun secara sistematis terdari dari 7 jilid.</w:t>
      </w:r>
    </w:p>
    <w:p w:rsidR="00B96615" w:rsidRPr="00B66934" w:rsidRDefault="00B96615" w:rsidP="00B96615">
      <w:pPr>
        <w:pStyle w:val="ListParagraph"/>
        <w:spacing w:line="480" w:lineRule="auto"/>
        <w:ind w:left="1440"/>
        <w:rPr>
          <w:rFonts w:ascii="Times New Roman" w:hAnsi="Times New Roman"/>
          <w:bCs/>
          <w:sz w:val="24"/>
          <w:szCs w:val="24"/>
        </w:rPr>
      </w:pPr>
    </w:p>
    <w:p w:rsidR="00B96615" w:rsidRDefault="00B96615" w:rsidP="00B96615">
      <w:pPr>
        <w:rPr>
          <w:rFonts w:ascii="Times New Roman" w:hAnsi="Times New Roman"/>
          <w:sz w:val="24"/>
          <w:szCs w:val="24"/>
          <w:lang w:val="en-US"/>
        </w:rPr>
      </w:pPr>
    </w:p>
    <w:p w:rsidR="00B96615" w:rsidRDefault="00B96615" w:rsidP="00B96615">
      <w:pPr>
        <w:rPr>
          <w:rFonts w:ascii="Times New Roman" w:hAnsi="Times New Roman"/>
          <w:sz w:val="24"/>
          <w:szCs w:val="24"/>
          <w:lang w:val="en-US"/>
        </w:rPr>
      </w:pPr>
    </w:p>
    <w:p w:rsidR="00B96615" w:rsidRDefault="00B96615" w:rsidP="00B96615">
      <w:pPr>
        <w:rPr>
          <w:rFonts w:ascii="Times New Roman" w:hAnsi="Times New Roman"/>
          <w:sz w:val="24"/>
          <w:szCs w:val="24"/>
          <w:lang w:val="en-US"/>
        </w:rPr>
      </w:pPr>
    </w:p>
    <w:p w:rsidR="00B96615" w:rsidRDefault="00B96615" w:rsidP="00B96615">
      <w:pPr>
        <w:rPr>
          <w:rFonts w:ascii="Times New Roman" w:hAnsi="Times New Roman"/>
          <w:sz w:val="24"/>
          <w:szCs w:val="24"/>
          <w:lang w:val="en-US"/>
        </w:rPr>
      </w:pPr>
    </w:p>
    <w:p w:rsidR="00B96615" w:rsidRDefault="00B96615" w:rsidP="00B96615">
      <w:pPr>
        <w:rPr>
          <w:rFonts w:ascii="Times New Roman" w:hAnsi="Times New Roman"/>
          <w:sz w:val="24"/>
          <w:szCs w:val="24"/>
          <w:lang w:val="en-US"/>
        </w:rPr>
      </w:pPr>
    </w:p>
    <w:p w:rsidR="00B96615" w:rsidRDefault="00B96615" w:rsidP="00B96615">
      <w:pPr>
        <w:rPr>
          <w:rFonts w:ascii="Times New Roman" w:hAnsi="Times New Roman"/>
          <w:sz w:val="24"/>
          <w:szCs w:val="24"/>
          <w:lang w:val="en-US"/>
        </w:rPr>
      </w:pPr>
    </w:p>
    <w:p w:rsidR="00B96615" w:rsidRDefault="00B96615" w:rsidP="00B96615">
      <w:pPr>
        <w:rPr>
          <w:rFonts w:ascii="Times New Roman" w:hAnsi="Times New Roman"/>
          <w:sz w:val="24"/>
          <w:szCs w:val="24"/>
          <w:lang w:val="en-US"/>
        </w:rPr>
      </w:pPr>
    </w:p>
    <w:p w:rsidR="00B96615" w:rsidRDefault="00B96615" w:rsidP="00B96615">
      <w:pPr>
        <w:rPr>
          <w:rFonts w:ascii="Times New Roman" w:hAnsi="Times New Roman"/>
          <w:sz w:val="24"/>
          <w:szCs w:val="24"/>
          <w:lang w:val="en-US"/>
        </w:rPr>
      </w:pPr>
    </w:p>
    <w:p w:rsidR="00B96615" w:rsidRDefault="00B96615" w:rsidP="00B96615">
      <w:pPr>
        <w:rPr>
          <w:rFonts w:ascii="Times New Roman" w:hAnsi="Times New Roman"/>
          <w:sz w:val="24"/>
          <w:szCs w:val="24"/>
          <w:lang w:val="en-US"/>
        </w:rPr>
      </w:pPr>
    </w:p>
    <w:p w:rsidR="00B96615" w:rsidRDefault="00B96615" w:rsidP="00B96615">
      <w:pPr>
        <w:rPr>
          <w:rFonts w:ascii="Times New Roman" w:hAnsi="Times New Roman"/>
          <w:sz w:val="24"/>
          <w:szCs w:val="24"/>
          <w:lang w:val="en-US"/>
        </w:rPr>
      </w:pPr>
    </w:p>
    <w:p w:rsidR="00B96615" w:rsidRDefault="00B96615" w:rsidP="00B96615">
      <w:pPr>
        <w:rPr>
          <w:rFonts w:ascii="Times New Roman" w:hAnsi="Times New Roman"/>
          <w:sz w:val="24"/>
          <w:szCs w:val="24"/>
          <w:lang w:val="en-US"/>
        </w:rPr>
      </w:pPr>
    </w:p>
    <w:p w:rsidR="00B96615" w:rsidRDefault="00B96615" w:rsidP="00B96615">
      <w:pPr>
        <w:rPr>
          <w:rFonts w:ascii="Times New Roman" w:hAnsi="Times New Roman"/>
          <w:sz w:val="24"/>
          <w:szCs w:val="24"/>
          <w:lang w:val="en-US"/>
        </w:rPr>
      </w:pPr>
    </w:p>
    <w:p w:rsidR="00B96615" w:rsidRDefault="00B96615" w:rsidP="00B96615">
      <w:pPr>
        <w:rPr>
          <w:rFonts w:ascii="Times New Roman" w:hAnsi="Times New Roman"/>
          <w:sz w:val="24"/>
          <w:szCs w:val="24"/>
          <w:lang w:val="en-US"/>
        </w:rPr>
      </w:pPr>
    </w:p>
    <w:p w:rsidR="00B96615" w:rsidRDefault="00B96615" w:rsidP="00B96615">
      <w:pPr>
        <w:rPr>
          <w:rFonts w:ascii="Times New Roman" w:hAnsi="Times New Roman"/>
          <w:sz w:val="24"/>
          <w:szCs w:val="24"/>
          <w:lang w:val="en-US"/>
        </w:rPr>
      </w:pPr>
    </w:p>
    <w:p w:rsidR="00B96615" w:rsidRDefault="00B96615" w:rsidP="00B96615">
      <w:pPr>
        <w:pStyle w:val="Heading1"/>
        <w:rPr>
          <w:lang w:val="en-US"/>
        </w:rPr>
      </w:pPr>
    </w:p>
    <w:p w:rsidR="00B96615" w:rsidRDefault="00B96615" w:rsidP="00B96615">
      <w:pPr>
        <w:rPr>
          <w:rFonts w:ascii="Times New Roman" w:hAnsi="Times New Roman"/>
          <w:sz w:val="24"/>
          <w:szCs w:val="24"/>
          <w:lang w:val="en-US"/>
        </w:rPr>
      </w:pPr>
    </w:p>
    <w:p w:rsidR="006A0DF9" w:rsidRPr="0070123A" w:rsidRDefault="006A0DF9">
      <w:pPr>
        <w:rPr>
          <w:rFonts w:ascii="Times New Roman" w:hAnsi="Times New Roman"/>
          <w:sz w:val="24"/>
          <w:szCs w:val="24"/>
        </w:rPr>
      </w:pPr>
    </w:p>
    <w:sectPr w:rsidR="006A0DF9" w:rsidRPr="0070123A" w:rsidSect="0070123A">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16D" w:rsidRDefault="00A4416D" w:rsidP="0070123A">
      <w:pPr>
        <w:spacing w:line="240" w:lineRule="auto"/>
      </w:pPr>
      <w:r>
        <w:separator/>
      </w:r>
    </w:p>
  </w:endnote>
  <w:endnote w:type="continuationSeparator" w:id="0">
    <w:p w:rsidR="00A4416D" w:rsidRDefault="00A4416D" w:rsidP="00701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Arabic">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16D" w:rsidRDefault="00A4416D" w:rsidP="0070123A">
      <w:pPr>
        <w:spacing w:line="240" w:lineRule="auto"/>
      </w:pPr>
      <w:r>
        <w:separator/>
      </w:r>
    </w:p>
  </w:footnote>
  <w:footnote w:type="continuationSeparator" w:id="0">
    <w:p w:rsidR="00A4416D" w:rsidRDefault="00A4416D" w:rsidP="0070123A">
      <w:pPr>
        <w:spacing w:line="240" w:lineRule="auto"/>
      </w:pPr>
      <w:r>
        <w:continuationSeparator/>
      </w:r>
    </w:p>
  </w:footnote>
  <w:footnote w:id="1">
    <w:p w:rsidR="00B96615" w:rsidRDefault="00B96615" w:rsidP="00B96615">
      <w:pPr>
        <w:pStyle w:val="FootnoteText"/>
        <w:ind w:firstLine="851"/>
      </w:pPr>
      <w:r w:rsidRPr="007B07D0">
        <w:rPr>
          <w:rStyle w:val="FootnoteReference"/>
          <w:rFonts w:asciiTheme="majorBidi" w:hAnsiTheme="majorBidi"/>
        </w:rPr>
        <w:footnoteRef/>
      </w:r>
      <w:r w:rsidRPr="007B07D0">
        <w:rPr>
          <w:rFonts w:asciiTheme="majorBidi" w:hAnsiTheme="majorBidi"/>
        </w:rPr>
        <w:t xml:space="preserve"> </w:t>
      </w:r>
      <w:r w:rsidRPr="007B07D0">
        <w:rPr>
          <w:rFonts w:asciiTheme="majorBidi" w:hAnsiTheme="majorBidi"/>
        </w:rPr>
        <w:fldChar w:fldCharType="begin"/>
      </w:r>
      <w:r w:rsidRPr="007B07D0">
        <w:rPr>
          <w:rFonts w:asciiTheme="majorBidi" w:hAnsiTheme="majorBidi"/>
        </w:rPr>
        <w:instrText xml:space="preserve"> ADDIN ZOTERO_ITEM CSL_CITATION {"citationID":"etWNo7vV","properties":{"formattedCitation":"Desti widiani Jiyanto dan Jiyanto Jiyanto, \\uc0\\u8220{}Implementasi Metode Fam\\uc0\\u299{} Bisyauqin dalam Memelihara Hafalan Al-Qur\\uc0\\u8217{}\\uc0\\u257{}n Pada Huff\\uc0\\u257{}\\uc0\\u7826{} di Ma\\uc0\\u8217{}had Tahfidzul Qur\\uc0\\u8217{}\\uc0\\u257{}n Abu Bakar Ash-Shidiq Muhammadiyah Yogyakarta,\\uc0\\u8221{} {\\i{}Jurnal Studi Al-Qur\\uc0\\u8217{}an} 15, no. 2 (31 Juli 2019): h. 190, https://doi.org/10.21009/JSQ.015.2.03.","plainCitation":"Desti widiani Jiyanto dan Jiyanto Jiyanto, “Implementasi Metode Famī Bisyauqin dalam Memelihara Hafalan Al-Qur’ān Pada HuffāẒ di Ma’had Tahfidzul Qur’ān Abu Bakar Ash-Shidiq Muhammadiyah Yogyakarta,” Jurnal Studi Al-Qur’an 15, no. 2 (31 Juli 2019): h. 190, https://doi.org/10.21009/JSQ.015.2.03.","noteIndex":1},"citationItems":[{"id":27,"uris":["http://zotero.org/users/local/S71BLl81/items/7VGIRGST"],"uri":["http://zotero.org/users/local/S71BLl81/items/7VGIRGST"],"itemData":{"id":27,"type":"article-journal","abstract":"Abstract\nThe methods of maintaining the memorization of the Qur'an which have so far not provided and alternative solution to the huffāẓ to maintain the recitation of the Qur'an easily, practically, systematically, flexibly and in accordance with the Sunnah of the Prophet, so that not a few huffs have difficulty in maintaining their memorization. Ma'had Tahfiẓul Qur'an Abu Bakr Ash Shidiq Muhammadiyah Yogyakarta offers a method of maintaining the memorization of the Qur'an easily, practical, systematic, flexible and in accordance with the sunnah of the Prophet Muhammad, namely the famī bisyauqin method. This research is a study that uses a qualitative descriptive approach, carried out in Ma'had Tahfidzul Qur'an Abu Bakar ash-Shidqi Muhammadiyah Yogyakarta. The research subjects are mudir ma’had and huffāẓ. The purpose of this research is to find out the implementation of the famī bisyauqin method, the supporting and inhibiting factors for the implementation of the famī bisyauqin method, and the advantages and disadvantages of the implementation of the famī bisyauqin method in maintaining the memorization of the Qur'an at huffāẓ in the ma'had tahfidzul Qur'an Abu Bakar ash -Shidiq Muhammadiyah Yogyakarta.\n \nKeywords: Fami Bisyauqin's method, Maintaining the Hafalan al-Qur'an, Huffāẓ\nAbstrak\nMetode-metode memelihara hafalan al-Qur’ān yang ada selama ini belum memberikan solusi alternatif kepada para huffāẓ untuk mempertahankan hafalan al-Qur’ān secara mudah, praktis, sistematis, fleksibel dan sesuai sunnah Rasulullah SAW. Ma’had Tahfiẓul Qur’an Abu Bakar Ash Shidiq Muhammadiyah Yogyakarta menawarkan metode dalam memelihara hafalan al-Qur’ān  secara mudah, praktis, sistematis, fleksibel dan sesuai sunnah Rasulullah SAW, yaitu metode famī bisyauqin. Peneletian ini merupakan penelitian yang menggunakan pendekatan secara kualitatif deskriptif, dilaksanakan di Ma’had Tahfidzul Qur’an Abu Bakar ash-Shidqi Muhammadiyah Yogyakarta. Subyek penelitiannya adalah mudir ma’had dan huffāẓ. Tujuan dari penelitian ini untuk mengetahui implementasi metode famī bisyauqin, faktor pendukung dan penghambat implementasi metode famī bisyauqin, dan kelebihan dan kekurangan dari implementasi metode famī bisyauqin dalam memelihara hafalan al-Qur’ān pada huffāẓ di ma’had tahfidzul Qur’an Abu Bakar ash-Shidiq Muhammadiyah Yogyakarta.\nKata Kunci : Metode Famī Bisyauqin, Memelihara Hafalan al-Qur’an, Huffāẓ","container-title":"Jurnal Studi Al-Qur'an","DOI":"10.21009/JSQ.015.2.03","ISSN":"2339-2614","issue":"2","language":"id","note":"number: 2","page":"185-200","source":"journal.unj.ac.id","title":"Implementasi Metode Famī Bisyauqin dalam Memelihara Hafalan Al-Qur’ān Pada HuffāẒ di Ma’had Tahfidzul Qur’ān Abu Bakar Ash-Shidiq Muhammadiyah Yogyakarta","volume":"15","author":[{"family":"Jiyanto","given":"Desti","dropping-particle":"widiani"},{"family":"Jiyanto","given":"Jiyanto"}],"issued":{"date-parts":[["2019",7,31]]}},"locator":"h. 190","label":"page"}],"schema":"https://github.com/citation-style-language/schema/raw/master/csl-citation.json"} </w:instrText>
      </w:r>
      <w:r w:rsidRPr="007B07D0">
        <w:rPr>
          <w:rFonts w:asciiTheme="majorBidi" w:hAnsiTheme="majorBidi"/>
        </w:rPr>
        <w:fldChar w:fldCharType="separate"/>
      </w:r>
      <w:r w:rsidRPr="007B07D0">
        <w:rPr>
          <w:rFonts w:asciiTheme="majorBidi" w:hAnsiTheme="majorBidi"/>
        </w:rPr>
        <w:t xml:space="preserve">Desti widiani Jiyanto dan Jiyanto Jiyanto, “Implementasi Metode Famī Bisyauqin dalam Memelihara Hafalan Al-Qur’ān Pada HuffāẒ di Ma’had Tahfidzul Qur’ān Abu Bakar Ash-Shidiq Muhammadiyah Yogyakarta,” </w:t>
      </w:r>
      <w:r w:rsidRPr="007B07D0">
        <w:rPr>
          <w:rFonts w:asciiTheme="majorBidi" w:hAnsiTheme="majorBidi"/>
          <w:i/>
          <w:iCs/>
        </w:rPr>
        <w:t>Jurnal Studi Al-Qur’an</w:t>
      </w:r>
      <w:r w:rsidRPr="007B07D0">
        <w:rPr>
          <w:rFonts w:asciiTheme="majorBidi" w:hAnsiTheme="majorBidi"/>
        </w:rPr>
        <w:t xml:space="preserve"> 15, no. 2 (31 Juli 2019): h. 190, https://doi.org/10.21009/JSQ.015.2.03.</w:t>
      </w:r>
      <w:r w:rsidRPr="007B07D0">
        <w:rPr>
          <w:rFonts w:asciiTheme="majorBidi" w:hAnsiTheme="majorBidi"/>
        </w:rPr>
        <w:fldChar w:fldCharType="end"/>
      </w:r>
    </w:p>
  </w:footnote>
  <w:footnote w:id="2">
    <w:p w:rsidR="00B96615" w:rsidRDefault="00B96615" w:rsidP="00B96615">
      <w:pPr>
        <w:pStyle w:val="FootnoteText"/>
        <w:ind w:firstLine="851"/>
      </w:pPr>
      <w:r w:rsidRPr="007B07D0">
        <w:rPr>
          <w:rStyle w:val="FootnoteReference"/>
          <w:rFonts w:asciiTheme="majorBidi" w:hAnsiTheme="majorBidi"/>
        </w:rPr>
        <w:footnoteRef/>
      </w:r>
      <w:r w:rsidRPr="007B07D0">
        <w:rPr>
          <w:rFonts w:asciiTheme="majorBidi" w:hAnsiTheme="majorBidi"/>
        </w:rPr>
        <w:t xml:space="preserve"> </w:t>
      </w:r>
      <w:r w:rsidRPr="007B07D0">
        <w:rPr>
          <w:rFonts w:asciiTheme="majorBidi" w:hAnsiTheme="majorBidi"/>
        </w:rPr>
        <w:fldChar w:fldCharType="begin"/>
      </w:r>
      <w:r w:rsidRPr="007B07D0">
        <w:rPr>
          <w:rFonts w:asciiTheme="majorBidi" w:hAnsiTheme="majorBidi"/>
        </w:rPr>
        <w:instrText xml:space="preserve"> ADDIN ZOTERO_ITEM CSL_CITATION {"citationID":"hhCL1gS6","properties":{"formattedCitation":"Jiyanto dan Jiyanto, h. 193.","plainCitation":"Jiyanto dan Jiyanto, h. 193.","noteIndex":2},"citationItems":[{"id":27,"uris":["http://zotero.org/users/local/S71BLl81/items/7VGIRGST"],"uri":["http://zotero.org/users/local/S71BLl81/items/7VGIRGST"],"itemData":{"id":27,"type":"article-journal","abstract":"Abstract\nThe methods of maintaining the memorization of the Qur'an which have so far not provided and alternative solution to the huffāẓ to maintain the recitation of the Qur'an easily, practically, systematically, flexibly and in accordance with the Sunnah of the Prophet, so that not a few huffs have difficulty in maintaining their memorization. Ma'had Tahfiẓul Qur'an Abu Bakr Ash Shidiq Muhammadiyah Yogyakarta offers a method of maintaining the memorization of the Qur'an easily, practical, systematic, flexible and in accordance with the sunnah of the Prophet Muhammad, namely the famī bisyauqin method. This research is a study that uses a qualitative descriptive approach, carried out in Ma'had Tahfidzul Qur'an Abu Bakar ash-Shidqi Muhammadiyah Yogyakarta. The research subjects are mudir ma’had and huffāẓ. The purpose of this research is to find out the implementation of the famī bisyauqin method, the supporting and inhibiting factors for the implementation of the famī bisyauqin method, and the advantages and disadvantages of the implementation of the famī bisyauqin method in maintaining the memorization of the Qur'an at huffāẓ in the ma'had tahfidzul Qur'an Abu Bakar ash -Shidiq Muhammadiyah Yogyakarta.\n \nKeywords: Fami Bisyauqin's method, Maintaining the Hafalan al-Qur'an, Huffāẓ\nAbstrak\nMetode-metode memelihara hafalan al-Qur’ān yang ada selama ini belum memberikan solusi alternatif kepada para huffāẓ untuk mempertahankan hafalan al-Qur’ān secara mudah, praktis, sistematis, fleksibel dan sesuai sunnah Rasulullah SAW. Ma’had Tahfiẓul Qur’an Abu Bakar Ash Shidiq Muhammadiyah Yogyakarta menawarkan metode dalam memelihara hafalan al-Qur’ān  secara mudah, praktis, sistematis, fleksibel dan sesuai sunnah Rasulullah SAW, yaitu metode famī bisyauqin. Peneletian ini merupakan penelitian yang menggunakan pendekatan secara kualitatif deskriptif, dilaksanakan di Ma’had Tahfidzul Qur’an Abu Bakar ash-Shidqi Muhammadiyah Yogyakarta. Subyek penelitiannya adalah mudir ma’had dan huffāẓ. Tujuan dari penelitian ini untuk mengetahui implementasi metode famī bisyauqin, faktor pendukung dan penghambat implementasi metode famī bisyauqin, dan kelebihan dan kekurangan dari implementasi metode famī bisyauqin dalam memelihara hafalan al-Qur’ān pada huffāẓ di ma’had tahfidzul Qur’an Abu Bakar ash-Shidiq Muhammadiyah Yogyakarta.\nKata Kunci : Metode Famī Bisyauqin, Memelihara Hafalan al-Qur’an, Huffāẓ","container-title":"Jurnal Studi Al-Qur'an","DOI":"10.21009/JSQ.015.2.03","ISSN":"2339-2614","issue":"2","language":"id","note":"number: 2","page":"185-200","source":"journal.unj.ac.id","title":"Implementasi Metode Famī Bisyauqin dalam Memelihara Hafalan Al-Qur’ān Pada HuffāẒ di Ma’had Tahfidzul Qur’ān Abu Bakar Ash-Shidiq Muhammadiyah Yogyakarta","volume":"15","author":[{"family":"Jiyanto","given":"Desti","dropping-particle":"widiani"},{"family":"Jiyanto","given":"Jiyanto"}],"issued":{"date-parts":[["2019",7,31]]}},"locator":"h. 193","label":"page"}],"schema":"https://github.com/citation-style-language/schema/raw/master/csl-citation.json"} </w:instrText>
      </w:r>
      <w:r w:rsidRPr="007B07D0">
        <w:rPr>
          <w:rFonts w:asciiTheme="majorBidi" w:hAnsiTheme="majorBidi"/>
        </w:rPr>
        <w:fldChar w:fldCharType="separate"/>
      </w:r>
      <w:r w:rsidRPr="007B07D0">
        <w:rPr>
          <w:rFonts w:asciiTheme="majorBidi" w:hAnsiTheme="majorBidi"/>
        </w:rPr>
        <w:t>Jiyanto dan Jiyanto, h. 193.</w:t>
      </w:r>
      <w:r w:rsidRPr="007B07D0">
        <w:rPr>
          <w:rFonts w:asciiTheme="majorBidi" w:hAnsiTheme="majorBidi"/>
        </w:rPr>
        <w:fldChar w:fldCharType="end"/>
      </w:r>
    </w:p>
  </w:footnote>
  <w:footnote w:id="3">
    <w:p w:rsidR="00B96615" w:rsidRPr="007B07D0" w:rsidRDefault="00B96615" w:rsidP="00B96615">
      <w:pPr>
        <w:pStyle w:val="FootnoteText"/>
        <w:ind w:firstLine="851"/>
        <w:rPr>
          <w:rFonts w:asciiTheme="majorBidi" w:hAnsiTheme="majorBidi"/>
        </w:rPr>
      </w:pPr>
      <w:r w:rsidRPr="007B07D0">
        <w:rPr>
          <w:rStyle w:val="FootnoteReference"/>
          <w:rFonts w:asciiTheme="majorBidi" w:hAnsiTheme="majorBidi"/>
        </w:rPr>
        <w:footnoteRef/>
      </w:r>
      <w:r w:rsidRPr="007B07D0">
        <w:rPr>
          <w:rFonts w:asciiTheme="majorBidi" w:hAnsiTheme="majorBidi"/>
        </w:rPr>
        <w:t xml:space="preserve"> </w:t>
      </w:r>
      <w:r w:rsidRPr="007B07D0">
        <w:rPr>
          <w:rFonts w:asciiTheme="majorBidi" w:hAnsiTheme="majorBidi"/>
        </w:rPr>
        <w:t xml:space="preserve">Abdul Aziz Addur Rauf, </w:t>
      </w:r>
      <w:r w:rsidRPr="007B07D0">
        <w:rPr>
          <w:rFonts w:asciiTheme="majorBidi" w:hAnsiTheme="majorBidi"/>
          <w:i/>
        </w:rPr>
        <w:t>Menghafal al-Qur’an Itu Mudah</w:t>
      </w:r>
      <w:r w:rsidRPr="007B07D0">
        <w:rPr>
          <w:rFonts w:asciiTheme="majorBidi" w:hAnsiTheme="majorBidi"/>
        </w:rPr>
        <w:t xml:space="preserve"> (Jakarta: Markaz al-Qur’an, 2009), h.15.</w:t>
      </w:r>
    </w:p>
    <w:p w:rsidR="00B96615" w:rsidRDefault="00B96615" w:rsidP="00B96615">
      <w:pPr>
        <w:pStyle w:val="FootnoteText"/>
        <w:ind w:firstLine="851"/>
      </w:pPr>
    </w:p>
  </w:footnote>
  <w:footnote w:id="4">
    <w:p w:rsidR="00B96615" w:rsidRDefault="00B96615" w:rsidP="00B96615">
      <w:pPr>
        <w:pStyle w:val="FootnoteText"/>
        <w:ind w:firstLine="851"/>
      </w:pPr>
      <w:r w:rsidRPr="007B07D0">
        <w:rPr>
          <w:rStyle w:val="FootnoteReference"/>
          <w:rFonts w:asciiTheme="majorBidi" w:hAnsiTheme="majorBidi"/>
        </w:rPr>
        <w:footnoteRef/>
      </w:r>
      <w:r w:rsidRPr="007B07D0">
        <w:rPr>
          <w:rFonts w:asciiTheme="majorBidi" w:hAnsiTheme="majorBidi"/>
        </w:rPr>
        <w:t xml:space="preserve"> </w:t>
      </w:r>
      <w:r w:rsidRPr="007B07D0">
        <w:rPr>
          <w:rFonts w:asciiTheme="majorBidi" w:hAnsiTheme="majorBidi"/>
        </w:rPr>
        <w:fldChar w:fldCharType="begin"/>
      </w:r>
      <w:r w:rsidRPr="007B07D0">
        <w:rPr>
          <w:rFonts w:asciiTheme="majorBidi" w:hAnsiTheme="majorBidi"/>
        </w:rPr>
        <w:instrText xml:space="preserve"> ADDIN ZOTERO_ITEM CSL_CITATION {"citationID":"EmhMuxVI","properties":{"formattedCitation":"Iys Nur Handayani dan Suismanto Suismanto, \\uc0\\u8220{}Metode Sorogan Dalam Meningkatkan Kemampuan Membaca Alquran Pada Anak,\\uc0\\u8221{} {\\i{}Golden Age: Jurnal Ilmiah Tumbuh Kembang Anak Usia Dini} 3, no. 2 (2018): h. 105, https://doi.org/10.14421/jga.2018.32-04.","plainCitation":"Iys Nur Handayani dan Suismanto Suismanto, “Metode Sorogan Dalam Meningkatkan Kemampuan Membaca Alquran Pada Anak,” Golden Age: Jurnal Ilmiah Tumbuh Kembang Anak Usia Dini 3, no. 2 (2018): h. 105, https://doi.org/10.14421/jga.2018.32-04.","noteIndex":3},"citationItems":[{"id":24,"uris":["http://zotero.org/users/local/S71BLl81/items/KQA6QV7F"],"uri":["http://zotero.org/users/local/S71BLl81/items/KQA6QV7F"],"itemData":{"id":24,"type":"article-journal","abstract":"Penelitian ini bertujuan untuk mengetahui proses penerapan metode sorogan dalam meningkatkan kemampuan membaca Alquran pada kelompok B di TK Nurul Ummah Kotagede Yogyakarta, mengetahui hasil dari penerapan metode sorogan dalam meningkatkan kemampuan membaca Alquran pada kelompok B di TK Nurul Ummah Kotagede Yogyakarta, dan mengetahui faktor-faktor pendukung serta penghambat penerapan metode sorogan dalam meningkatkan kemampuan membaca Alquran pada kelompok B di TK Nurul Ummah Kotagede Yogyakarta. Penelitian ini termasuk jenis penelitian kualitatif. Penelitian ini dilakukan di TK Nurul Ummah Kotagede Yogyakarta. Subjek penelitian yaitu kepala sekolah, guru-guru, orang tua dan anak. Teknik pengumpulan data dalam penelitian ini yaitu observasi, wawancara, dan dokumentasi. Analisis data yang digunakan triangulasi sumber, teknik dan waktu. Hasil dari penelitian ini adalah proses pererapan metode sorogan di TK Nurul Ummah Kotagede Yogyakarta yaitu terdiri dari 3 kegiatan yaitu kegiatan awal, inti dan akhir, penerapan metode sorogan dalam meningkatkan kemampuan membaca Alquran di TK Nurul Ummah Kotagede Yogyakarta yaitu yang pada awalnya masuk TK anak belum memiliki kemampuan membaca Alquran, pada kelompok B menunjukkan bahwa 34 anak dari 45 anak dapat melampaui target yang sudah di tentukan oleh TK. (3) Faktor-faktor pendukung dari penerapan metode sorogan di TK Nurul Ummah Kotagede Yogyakarta sebagai berikut: guru pengajar sorogan dan anak, ketersediaan kitab, jawdal yang terstruktur, mengikuti TPQ/TPA, muthāla’ah dan bimbingan orang tua dirumah. Faktor-faktor penghambat dari penerapan metode sorogan di TK Nurul Ummah Kotagede Yogyakarta sebagai berikut: keterbatasan waktu, keterbatasan guru pengajar sorogan, beberapa anak yang hiperakatif sehingga sulit dikondisikan, suasana yang kurang kondusif, dan ada beberapa anak yang tidak di bimbing di rumah.","container-title":"Golden Age: Jurnal Ilmiah Tumbuh Kembang Anak Usia Dini","DOI":"10.14421/jga.2018.32-04","ISSN":"2502-3519","issue":"2","language":"en","note":"number: 2","page":"103-114","source":"202.0.92.5","title":"Metode Sorogan dalam Meningkatkan Kemampuan Membaca Alquran pada Anak","volume":"3","author":[{"family":"Handayani","given":"Iys Nur"},{"family":"Suismanto","given":"Suismanto"}],"issued":{"date-parts":[["2018"]]}},"locator":"h. 105","label":"page"}],"schema":"https://github.com/citation-style-language/schema/raw/master/csl-citation.json"} </w:instrText>
      </w:r>
      <w:r w:rsidRPr="007B07D0">
        <w:rPr>
          <w:rFonts w:asciiTheme="majorBidi" w:hAnsiTheme="majorBidi"/>
        </w:rPr>
        <w:fldChar w:fldCharType="separate"/>
      </w:r>
      <w:r w:rsidRPr="007B07D0">
        <w:rPr>
          <w:rFonts w:asciiTheme="majorBidi" w:hAnsiTheme="majorBidi"/>
        </w:rPr>
        <w:t xml:space="preserve">Iys Nur Handayani dan Suismanto Suismanto, “Metode Sorogan Dalam Meningkatkan Kemampuan Membaca Alquran Pada Anak,” </w:t>
      </w:r>
      <w:r w:rsidRPr="007B07D0">
        <w:rPr>
          <w:rFonts w:asciiTheme="majorBidi" w:hAnsiTheme="majorBidi"/>
          <w:i/>
          <w:iCs/>
        </w:rPr>
        <w:t>Golden Age: Jurnal Ilmiah Tumbuh Kembang Anak Usia Dini</w:t>
      </w:r>
      <w:r w:rsidRPr="007B07D0">
        <w:rPr>
          <w:rFonts w:asciiTheme="majorBidi" w:hAnsiTheme="majorBidi"/>
        </w:rPr>
        <w:t xml:space="preserve"> 3, no. 2 (2018): h. 105, https://doi.org/10.14421/jga.2018.32-04.</w:t>
      </w:r>
      <w:r w:rsidRPr="007B07D0">
        <w:rPr>
          <w:rFonts w:asciiTheme="majorBidi" w:hAnsiTheme="majorBidi"/>
        </w:rPr>
        <w:fldChar w:fldCharType="end"/>
      </w:r>
    </w:p>
  </w:footnote>
  <w:footnote w:id="5">
    <w:p w:rsidR="00B96615" w:rsidRDefault="00B96615" w:rsidP="00B96615">
      <w:pPr>
        <w:pStyle w:val="FootnoteText"/>
        <w:ind w:firstLine="851"/>
      </w:pPr>
      <w:r w:rsidRPr="007B07D0">
        <w:rPr>
          <w:rStyle w:val="FootnoteReference"/>
          <w:rFonts w:asciiTheme="majorBidi" w:hAnsiTheme="majorBidi"/>
        </w:rPr>
        <w:footnoteRef/>
      </w:r>
      <w:r w:rsidRPr="007B07D0">
        <w:rPr>
          <w:rFonts w:asciiTheme="majorBidi" w:hAnsiTheme="majorBidi"/>
        </w:rPr>
        <w:t xml:space="preserve"> </w:t>
      </w:r>
      <w:r w:rsidRPr="007B07D0">
        <w:rPr>
          <w:rFonts w:asciiTheme="majorBidi" w:hAnsiTheme="majorBidi"/>
        </w:rPr>
        <w:fldChar w:fldCharType="begin"/>
      </w:r>
      <w:r w:rsidRPr="007B07D0">
        <w:rPr>
          <w:rFonts w:asciiTheme="majorBidi" w:hAnsiTheme="majorBidi"/>
        </w:rPr>
        <w:instrText xml:space="preserve"> ADDIN ZOTERO_ITEM CSL_CITATION {"citationID":"jyHLelEo","properties":{"formattedCitation":"Wulan Puji Wahyuni, \\uc0\\u8220{}Pembelajaran Membaca Al-Qur\\uc0\\u8217{}an Dengan Metode Qiro\\uc0\\u8217{}ati Di Tpq Al-Musthofa Desa Wiradadi Kecamatan Sokaraja Kabupaten Banyumas\\uc0\\u8221{} (skripsi, IAIN Purwokerto, 2016), h. 6, http://repository.iainpurwokerto.ac.id/2090/.","plainCitation":"Wulan Puji Wahyuni, “Pembelajaran Membaca Al-Qur’an Dengan Metode Qiro’ati Di Tpq Al-Musthofa Desa Wiradadi Kecamatan Sokaraja Kabupaten Banyumas” (skripsi, IAIN Purwokerto, 2016), h. 6, http://repository.iainpurwokerto.ac.id/2090/.","noteIndex":4},"citationItems":[{"id":37,"uris":["http://zotero.org/users/local/S71BLl81/items/2AUAA872"],"uri":["http://zotero.org/users/local/S71BLl81/items/2AUAA872"],"itemData":{"id":37,"type":"thesis","abstract":"Banyaknya metode untuk mempelajari membaca Al-Qur’an, diantaranya\nadalah metode Qiro’ati. Metode Qiro’ati adalah Salah satu metode pembelajaran\nmembaca Al-Qur’an dengan membiasakan membaca dengan benar, lancar, cepat\ndan tepat sesuai dengan makhorijul huruf dan tajwid.\nRumusan masalah yang akan dijawab dalam penelitian ini adalah bagaimana\npembelajaran membaca al-Qur’an dengan metode qiro’ati di TPQ Al-Musthofa\nDesa Wiradadi Kecamatan Sokaraja Kabupaten Banyumas?.\nPenelitian ini termasuk penelitian lapangan. Penelitian ini menggambarkan\nkeadaan yang sebenarnya dalam proses pembelajaran metode Qiro’ati di TPQ Al-\nMusthofa. Metode yang penulis gunakan untuk memperoleh data-data yaitu\nwawancara, observasi, dan dokumentasi.\nHasil penelitian menunjukkan bahwa pembelajaran membaca Al-Qur’an\ndengan metode Qiro’ati di TPQ Al-Musthofa dilaksanakan 6 kali dalam\nseminggu. Langkah-langkah ustad dan ustadzah dalam proses pembelajaran di\nTPQ Al-Musthofa adalah pertama ustad-ustadzah mempersiapkan dan\nmengkondisikan santri terlebih dahulu. Kemudian setelah mengkondisikan santri,\nustad-ustadzah melakukan pembelajaran awal selama 15 menit yaitu untuk jilid\n1,2,3,4,5, dan 6 menggunakan peraga, untuk juz 27, kelas al-Qur’an, dan kelas\nfinishing (kelas ghorib dan tajwid) menggunakan baca-simak, dilanjutkan dengan\nkegiatan inti selama 30 menit yaitu santri mengaji satu persatu di hadapan ustadustadzah,\nkemudian dilanjutkan dengan pembelajaran akhir yaitu ustad-ustadzah\nmemberikan materi tambahan selama 15 menit. Evaluasi yang di gunakan di TPQ\nAl-Musthofa yaitu evaluasi harian atau kenaikan halaman, evaluasi kenaikan jilid,\ndan khataman.\nKata Kunci : Pembelajaran, Membaca Al-Qur’an, Metode Qiro’ati","genre":"skripsi","language":"id","publisher":"IAIN Purwokerto","source":"repository.iainpurwokerto.ac.id","title":"Pembelajaran Membaca Al-Qur’an Dengan Metode Qiro’ati Di Tpq Al-Musthofa Desa Wiradadi Kecamatan Sokaraja Kabupaten Banyumas","URL":"http://repository.iainpurwokerto.ac.id/2090/","author":[{"family":"Wulan Puji Wahyuni","given":""}],"accessed":{"date-parts":[["2021",3,15]]},"issued":{"date-parts":[["2016"]]}},"locator":"h. 6","label":"page"}],"schema":"https://github.com/citation-style-language/schema/raw/master/csl-citation.json"} </w:instrText>
      </w:r>
      <w:r w:rsidRPr="007B07D0">
        <w:rPr>
          <w:rFonts w:asciiTheme="majorBidi" w:hAnsiTheme="majorBidi"/>
        </w:rPr>
        <w:fldChar w:fldCharType="separate"/>
      </w:r>
      <w:r w:rsidRPr="007B07D0">
        <w:rPr>
          <w:rFonts w:asciiTheme="majorBidi" w:hAnsiTheme="majorBidi"/>
        </w:rPr>
        <w:t>Wulan Puji Wahyuni, “Pembelajaran Membaca Al-Qur’an Dengan Metode Qiro’ati Di Tpq Al-Musthofa Desa Wiradadi Kecamatan Sokaraja Kabupaten Banyumas” (skripsi, IAIN Purwokerto, 2016), h. 6, http://repository.iainpurwokerto.ac.id/2090/.</w:t>
      </w:r>
      <w:r w:rsidRPr="007B07D0">
        <w:rPr>
          <w:rFonts w:asciiTheme="majorBidi" w:hAnsiTheme="majorBidi"/>
        </w:rPr>
        <w:fldChar w:fldCharType="end"/>
      </w:r>
    </w:p>
  </w:footnote>
  <w:footnote w:id="6">
    <w:p w:rsidR="00B96615" w:rsidRDefault="00B96615" w:rsidP="00B96615">
      <w:pPr>
        <w:pStyle w:val="FootnoteText"/>
        <w:ind w:firstLine="851"/>
      </w:pPr>
      <w:r w:rsidRPr="007B07D0">
        <w:rPr>
          <w:rStyle w:val="FootnoteReference"/>
          <w:rFonts w:asciiTheme="majorBidi" w:hAnsiTheme="majorBidi"/>
        </w:rPr>
        <w:footnoteRef/>
      </w:r>
      <w:r w:rsidRPr="007B07D0">
        <w:rPr>
          <w:rFonts w:asciiTheme="majorBidi" w:hAnsiTheme="majorBidi"/>
        </w:rPr>
        <w:t xml:space="preserve"> </w:t>
      </w:r>
      <w:r w:rsidRPr="007B07D0">
        <w:rPr>
          <w:rFonts w:asciiTheme="majorBidi" w:hAnsiTheme="majorBidi"/>
        </w:rPr>
        <w:fldChar w:fldCharType="begin"/>
      </w:r>
      <w:r w:rsidRPr="007B07D0">
        <w:rPr>
          <w:rFonts w:asciiTheme="majorBidi" w:hAnsiTheme="majorBidi"/>
        </w:rPr>
        <w:instrText xml:space="preserve"> ADDIN ZOTERO_ITEM CSL_CITATION {"citationID":"UF1TOdKJ","properties":{"formattedCitation":"Uswatun Hasanah dkk., \\uc0\\u8220{}Peningkatan Kemampuan Membaca Al Qur\\uc0\\u8217{}an Melalui Pengenalan Makhorijul Huruf Pada Anak Menggunakan Metode Sorogan,\\uc0\\u8221{} {\\i{}Al-Din: Jurnal Dakwah dan Sosial Keagamaan} 6, no. 2 (31 Desember 2020): h. 8, https://www.jurnal.iain-bone.ac.id/index.php/aldin/article/view/1133.","plainCitation":"Uswatun Hasanah dkk., “Peningkatan Kemampuan Membaca Al Qur’an Melalui Pengenalan Makhorijul Huruf Pada Anak Menggunakan Metode Sorogan,” Al-Din: Jurnal Dakwah dan Sosial Keagamaan 6, no. 2 (31 Desember 2020): h. 8, https://www.jurnal.iain-bone.ac.id/index.php/aldin/article/view/1133.","noteIndex":5},"citationItems":[{"id":53,"uris":["http://zotero.org/users/local/S71BLl81/items/76WMAV68"],"uri":["http://zotero.org/users/local/S71BLl81/items/76WMAV68"],"itemData":{"id":53,"type":"article-journal","abstract":"Penelitian ini berfokus pada bagaimana aplikasi metode  sorogan  dalam pembelajaran membaca  makharijul  huruf dan apakah ada peningkatan kemampuan membaca makharijul huruf setelah menggunakan Metode  Sorogan . Metode yang digunakan dalam penelitian ini adalah dengan pendekatan PAR  (Participatory Action Research) . Adapun hasil dari penelitian ini yaitu Penerapan metode  sorogan  dilaksanakan dengan cara berkelompok dan peserta didik mengalami peningkatan kemampuan membaca Al-Qur’an melalui pengenalan makhorijul huruf melalui metode sorogan. Penelitian ini berdampak pada peningkatan kemampuan peserta didik dalam membaca Al-Qur’an. Peserta didik belajar membaca Al-Qur’an dengan mudah melalui metode sorogan.        Kata Kunci: Hijaiyah, Makhorijul Huruf, Metode Sorogan","container-title":"Al-Din: Jurnal Dakwah dan Sosial Keagamaan","ISSN":"2685-7197","issue":"2","language":"id","note":"number: 2\npublisher: fakultas Ushuluddin dan Dakwah IAIN Bone","source":"www.jurnal.iain-bone.ac.id","title":"Peningkatan Kemampuan Membaca Al Qur’an Melalui Pengenalan Makhorijul Huruf Pada Anak Menggunakan Metode Sorogan","URL":"https://www.jurnal.iain-bone.ac.id/index.php/aldin/article/view/1133","volume":"6","author":[{"family":"Hasanah","given":"Uswatun"},{"family":"Setia","given":"Sefta Dwi"},{"family":"Fatonah","given":"Isti"},{"family":"Deiniatur","given":"Much"}],"accessed":{"date-parts":[["2021",3,16]]},"issued":{"date-parts":[["2020",12,31]]}},"locator":"h. 8","label":"page"}],"schema":"https://github.com/citation-style-language/schema/raw/master/csl-citation.json"} </w:instrText>
      </w:r>
      <w:r w:rsidRPr="007B07D0">
        <w:rPr>
          <w:rFonts w:asciiTheme="majorBidi" w:hAnsiTheme="majorBidi"/>
        </w:rPr>
        <w:fldChar w:fldCharType="separate"/>
      </w:r>
      <w:r w:rsidRPr="007B07D0">
        <w:rPr>
          <w:rFonts w:asciiTheme="majorBidi" w:hAnsiTheme="majorBidi"/>
        </w:rPr>
        <w:t xml:space="preserve">Uswatun Hasanah dkk., “Peningkatan Kemampuan Membaca Al Qur’an Melalui Pengenalan Makhorijul Huruf Pada Anak Menggunakan Metode Sorogan,” </w:t>
      </w:r>
      <w:r w:rsidRPr="007B07D0">
        <w:rPr>
          <w:rFonts w:asciiTheme="majorBidi" w:hAnsiTheme="majorBidi"/>
          <w:i/>
          <w:iCs/>
        </w:rPr>
        <w:t>Al-Din: Jurnal Dakwah dan Sosial Keagamaan</w:t>
      </w:r>
      <w:r w:rsidRPr="007B07D0">
        <w:rPr>
          <w:rFonts w:asciiTheme="majorBidi" w:hAnsiTheme="majorBidi"/>
        </w:rPr>
        <w:t xml:space="preserve"> 6, no. 2 (31 Desember 2020): h. 8, https://www.jurnal.iain-bone.ac.id/index.php/aldin/article/view/1133.</w:t>
      </w:r>
      <w:r w:rsidRPr="007B07D0">
        <w:rPr>
          <w:rFonts w:asciiTheme="majorBidi" w:hAnsiTheme="majorBidi"/>
        </w:rPr>
        <w:fldChar w:fldCharType="end"/>
      </w:r>
    </w:p>
  </w:footnote>
  <w:footnote w:id="7">
    <w:p w:rsidR="00B96615" w:rsidRDefault="00B96615" w:rsidP="00B96615">
      <w:pPr>
        <w:pStyle w:val="FootnoteText"/>
        <w:ind w:firstLine="851"/>
      </w:pPr>
      <w:r w:rsidRPr="007B07D0">
        <w:rPr>
          <w:rStyle w:val="FootnoteReference"/>
          <w:rFonts w:asciiTheme="majorBidi" w:hAnsiTheme="majorBidi"/>
        </w:rPr>
        <w:footnoteRef/>
      </w:r>
      <w:r w:rsidRPr="007B07D0">
        <w:rPr>
          <w:rFonts w:asciiTheme="majorBidi" w:hAnsiTheme="majorBidi"/>
        </w:rPr>
        <w:t xml:space="preserve"> </w:t>
      </w:r>
      <w:r w:rsidRPr="007B07D0">
        <w:rPr>
          <w:rFonts w:asciiTheme="majorBidi" w:hAnsiTheme="majorBidi"/>
        </w:rPr>
        <w:fldChar w:fldCharType="begin"/>
      </w:r>
      <w:r w:rsidRPr="007B07D0">
        <w:rPr>
          <w:rFonts w:asciiTheme="majorBidi" w:hAnsiTheme="majorBidi"/>
        </w:rPr>
        <w:instrText xml:space="preserve"> ADDIN ZOTERO_ITEM CSL_CITATION {"citationID":"tpXv7SoJ","properties":{"formattedCitation":"Tsaqifa Taqiyya Ulfah, Muhammad Shaleh Assingkily, dan Izzatin Kamala, \\uc0\\u8220{}Implementasi Metode Iqro\\uc0\\u8217{} Dalam Pembelajaran Membaca Al-Qur\\uc0\\u8217{}an,\\uc0\\u8221{} {\\i{}TA\\uc0\\u8217{}DIBUNA: Jurnal Pendidikan Agama Islam} 2, no. 2 (26 Desember 2019): h. 8, https://doi.org/10.30659/jpai.2.2.44-54.","plainCitation":"Tsaqifa Taqiyya Ulfah, Muhammad Shaleh Assingkily, dan Izzatin Kamala, “Implementasi Metode Iqro’ Dalam Pembelajaran Membaca Al-Qur’an,” TA’DIBUNA: Jurnal Pendidikan Agama Islam 2, no. 2 (26 Desember 2019): h. 8, https://doi.org/10.30659/jpai.2.2.44-54.","noteIndex":6},"citationItems":[{"id":32,"uris":["http://zotero.org/users/local/S71BLl81/items/WCNRZBGX"],"uri":["http://zotero.org/users/local/S71BLl81/items/WCNRZBGX"],"itemData":{"id":32,"type":"article-journal","abstract":"The purpose of this research is to describe implement the Iqro’ method which learning to read the Qur’an at TKA-TPA “AMM” Kotagede Yogyakarta, to explain the systematic, and advantage the Iqro’ method. The research uses the type of qualitative research by describing the data that has been collected as research and field research as a place of research. The results of this research are the implementation of the Iqro’ method which learning to read the Qur’an at TKA-TPA “AMM” Kotagede Yogyakarta based on the main principles of classical and private. Other principles such as, directly introduce the sound of hijaiyah, for kindergarten age are allowed to read, CBSA system and teaching have a purpose. Systematic Iqro’ method which learning to read the Qur'an through stage start from volumes 1-6. Iqro’ method is arranged from concrete to abstract, start from easy to difficult, and start from simple to complex. The Iqro’ method has an advantage, that has been applied throughout Indonesia and some ASEAN countries, flexible, the books are easy to obtain and affordable, use the CBSA system, can finish Iqro’ with a short time, practical, systematic, and varied.Keywords: Iqro’ method, Learning to Read the Qur'an","container-title":"TA'DIBUNA: Jurnal Pendidikan Agama Islam","DOI":"10.30659/jpai.2.2.44-54","ISSN":"2614-1396","issue":"2","language":"en","note":"number: 2","page":"59-69","source":"jurnal.unissula.ac.id","title":"Implementasi Metode Iqro’ Dalam Pembelajaran Membaca Al-Qur’an","volume":"2","author":[{"family":"Ulfah","given":"Tsaqifa Taqiyya"},{"family":"Assingkily","given":"Muhammad Shaleh"},{"family":"Kamala","given":"Izzatin"}],"issued":{"date-parts":[["2019",12,26]]}},"locator":"h. 8","label":"page"}],"schema":"https://github.com/citation-style-language/schema/raw/master/csl-citation.json"} </w:instrText>
      </w:r>
      <w:r w:rsidRPr="007B07D0">
        <w:rPr>
          <w:rFonts w:asciiTheme="majorBidi" w:hAnsiTheme="majorBidi"/>
        </w:rPr>
        <w:fldChar w:fldCharType="separate"/>
      </w:r>
      <w:r w:rsidRPr="007B07D0">
        <w:rPr>
          <w:rFonts w:asciiTheme="majorBidi" w:hAnsiTheme="majorBidi"/>
        </w:rPr>
        <w:t xml:space="preserve">Tsaqifa Taqiyya Ulfah, Muhammad Shaleh Assingkily, dan Izzatin Kamala, “Implementasi Metode Iqro’ Dalam Pembelajaran Membaca Al-Qur’an,” </w:t>
      </w:r>
      <w:r w:rsidRPr="007B07D0">
        <w:rPr>
          <w:rFonts w:asciiTheme="majorBidi" w:hAnsiTheme="majorBidi"/>
          <w:i/>
          <w:iCs/>
        </w:rPr>
        <w:t>TA’DIBUNA: Jurnal Pendidikan Agama Islam</w:t>
      </w:r>
      <w:r w:rsidRPr="007B07D0">
        <w:rPr>
          <w:rFonts w:asciiTheme="majorBidi" w:hAnsiTheme="majorBidi"/>
        </w:rPr>
        <w:t xml:space="preserve"> 2, no. 2 (26 Desember 2019): h. 8, https://doi.org/10.30659/jpai.2.2.44-54.</w:t>
      </w:r>
      <w:r w:rsidRPr="007B07D0">
        <w:rPr>
          <w:rFonts w:asciiTheme="majorBidi" w:hAnsiTheme="majorBidi"/>
        </w:rPr>
        <w:fldChar w:fldCharType="end"/>
      </w:r>
    </w:p>
  </w:footnote>
  <w:footnote w:id="8">
    <w:p w:rsidR="00B96615" w:rsidRDefault="00B96615" w:rsidP="00B96615">
      <w:pPr>
        <w:pStyle w:val="FootnoteText"/>
        <w:ind w:firstLine="851"/>
      </w:pPr>
      <w:r w:rsidRPr="007B07D0">
        <w:rPr>
          <w:rStyle w:val="FootnoteReference"/>
          <w:rFonts w:asciiTheme="majorBidi" w:hAnsiTheme="majorBidi"/>
        </w:rPr>
        <w:footnoteRef/>
      </w:r>
      <w:r w:rsidRPr="007B07D0">
        <w:rPr>
          <w:rFonts w:asciiTheme="majorBidi" w:hAnsiTheme="majorBidi"/>
        </w:rPr>
        <w:t xml:space="preserve"> </w:t>
      </w:r>
      <w:r w:rsidRPr="007B07D0">
        <w:rPr>
          <w:rFonts w:asciiTheme="majorBidi" w:hAnsiTheme="majorBidi"/>
        </w:rPr>
        <w:fldChar w:fldCharType="begin"/>
      </w:r>
      <w:r w:rsidRPr="007B07D0">
        <w:rPr>
          <w:rFonts w:asciiTheme="majorBidi" w:hAnsiTheme="majorBidi"/>
        </w:rPr>
        <w:instrText xml:space="preserve"> ADDIN ZOTERO_ITEM CSL_CITATION {"citationID":"4NHNk2li","properties":{"formattedCitation":"\\uc0\\u8220{}Implementasi metode al-Barqy dalam pembelajaran baca tulis al-Quran di Graha Al-Barqy Kota Malang Etheses of Maulana Malik Ibrahim State Islamic University,\\uc0\\u8221{} h. 5, diakses 15 Maret 2021, http://etheses.uin-malang.ac.id/11769/.","plainCitation":"“Implementasi metode al-Barqy dalam pembelajaran baca tulis al-Quran di Graha Al-Barqy Kota Malang Etheses of Maulana Malik Ibrahim State Islamic University,” h. 5, diakses 15 Maret 2021, http://etheses.uin-malang.ac.id/11769/.","noteIndex":7},"citationItems":[{"id":35,"uris":["http://zotero.org/users/local/S71BLl81/items/82EP9GDH"],"uri":["http://zotero.org/users/local/S71BLl81/items/82EP9GDH"],"itemData":{"id":35,"type":"webpage","title":"Implementasi metode al-Barqy dalam pembelajaran baca tulis al-Quran di Graha Al-Barqy Kota Malang Etheses of Maulana Malik Ibrahim State Islamic University","URL":"http://etheses.uin-malang.ac.id/11769/","accessed":{"date-parts":[["2021",3,15]]}},"locator":"h. 5","label":"page"}],"schema":"https://github.com/citation-style-language/schema/raw/master/csl-citation.json"} </w:instrText>
      </w:r>
      <w:r w:rsidRPr="007B07D0">
        <w:rPr>
          <w:rFonts w:asciiTheme="majorBidi" w:hAnsiTheme="majorBidi"/>
        </w:rPr>
        <w:fldChar w:fldCharType="separate"/>
      </w:r>
      <w:r w:rsidRPr="007B07D0">
        <w:rPr>
          <w:rFonts w:asciiTheme="majorBidi" w:hAnsiTheme="majorBidi"/>
        </w:rPr>
        <w:t>“Implementasi metode al-Barqy dalam pembelajaran baca tulis al-Quran di Graha Al-Barqy Kota Malang Etheses of Maulana Malik Ibrahim State Islamic University,” h. 5, diakses 15 Maret 2021, http://etheses.uin-malang.ac.id/11769/.</w:t>
      </w:r>
      <w:r w:rsidRPr="007B07D0">
        <w:rPr>
          <w:rFonts w:asciiTheme="majorBidi" w:hAnsiTheme="majorBid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8F6"/>
    <w:multiLevelType w:val="hybridMultilevel"/>
    <w:tmpl w:val="503EE950"/>
    <w:lvl w:ilvl="0" w:tplc="4DD8CE24">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8DE66D7"/>
    <w:multiLevelType w:val="hybridMultilevel"/>
    <w:tmpl w:val="020018F8"/>
    <w:lvl w:ilvl="0" w:tplc="439C3F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4346830"/>
    <w:multiLevelType w:val="hybridMultilevel"/>
    <w:tmpl w:val="687E0298"/>
    <w:lvl w:ilvl="0" w:tplc="71CC0B1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DC85323"/>
    <w:multiLevelType w:val="hybridMultilevel"/>
    <w:tmpl w:val="B20620B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660062D"/>
    <w:multiLevelType w:val="hybridMultilevel"/>
    <w:tmpl w:val="5AF4D30E"/>
    <w:lvl w:ilvl="0" w:tplc="DB7808D6">
      <w:start w:val="1"/>
      <w:numFmt w:val="decimal"/>
      <w:lvlText w:val="%1."/>
      <w:lvlJc w:val="left"/>
      <w:pPr>
        <w:ind w:left="1440" w:hanging="360"/>
      </w:pPr>
      <w:rPr>
        <w:rFonts w:ascii="Times New Roman" w:hAnsi="Times New Roman" w:cs="Times New Roman" w:hint="default"/>
        <w:b w:val="0"/>
        <w:color w:val="00000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4EE56DD0"/>
    <w:multiLevelType w:val="hybridMultilevel"/>
    <w:tmpl w:val="66A06638"/>
    <w:lvl w:ilvl="0" w:tplc="9814A02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67F0428C"/>
    <w:multiLevelType w:val="hybridMultilevel"/>
    <w:tmpl w:val="924A933E"/>
    <w:lvl w:ilvl="0" w:tplc="7E6698E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23A"/>
    <w:rsid w:val="004B7FBF"/>
    <w:rsid w:val="006A0DF9"/>
    <w:rsid w:val="0070123A"/>
    <w:rsid w:val="00754CD6"/>
    <w:rsid w:val="00A4416D"/>
    <w:rsid w:val="00B96615"/>
    <w:rsid w:val="00F2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15"/>
    <w:pPr>
      <w:spacing w:after="0" w:line="360" w:lineRule="auto"/>
      <w:jc w:val="both"/>
    </w:pPr>
    <w:rPr>
      <w:rFonts w:eastAsia="Times New Roman" w:cs="Times New Roman"/>
      <w:lang w:val="id-ID"/>
    </w:rPr>
  </w:style>
  <w:style w:type="paragraph" w:styleId="Heading1">
    <w:name w:val="heading 1"/>
    <w:basedOn w:val="Normal"/>
    <w:next w:val="Normal"/>
    <w:link w:val="Heading1Char"/>
    <w:uiPriority w:val="9"/>
    <w:qFormat/>
    <w:rsid w:val="00B96615"/>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615"/>
    <w:rPr>
      <w:rFonts w:asciiTheme="majorHAnsi" w:eastAsiaTheme="majorEastAsia" w:hAnsiTheme="majorHAnsi" w:cs="Times New Roman"/>
      <w:b/>
      <w:bCs/>
      <w:color w:val="365F91" w:themeColor="accent1" w:themeShade="BF"/>
      <w:sz w:val="28"/>
      <w:szCs w:val="28"/>
      <w:lang w:val="id-ID"/>
    </w:rPr>
  </w:style>
  <w:style w:type="paragraph" w:styleId="ListParagraph">
    <w:name w:val="List Paragraph"/>
    <w:aliases w:val="Body of text,List Paragraph1"/>
    <w:basedOn w:val="Normal"/>
    <w:link w:val="ListParagraphChar"/>
    <w:uiPriority w:val="34"/>
    <w:qFormat/>
    <w:rsid w:val="00B96615"/>
    <w:pPr>
      <w:ind w:left="720"/>
      <w:contextualSpacing/>
    </w:pPr>
  </w:style>
  <w:style w:type="character" w:customStyle="1" w:styleId="ListParagraphChar">
    <w:name w:val="List Paragraph Char"/>
    <w:aliases w:val="Body of text Char,List Paragraph1 Char"/>
    <w:link w:val="ListParagraph"/>
    <w:uiPriority w:val="34"/>
    <w:locked/>
    <w:rsid w:val="00B96615"/>
    <w:rPr>
      <w:rFonts w:eastAsia="Times New Roman" w:cs="Times New Roman"/>
      <w:lang w:val="id-ID"/>
    </w:rPr>
  </w:style>
  <w:style w:type="paragraph" w:styleId="FootnoteText">
    <w:name w:val="footnote text"/>
    <w:basedOn w:val="Normal"/>
    <w:link w:val="FootnoteTextChar"/>
    <w:uiPriority w:val="99"/>
    <w:unhideWhenUsed/>
    <w:rsid w:val="00B96615"/>
    <w:pPr>
      <w:spacing w:line="240" w:lineRule="auto"/>
    </w:pPr>
    <w:rPr>
      <w:sz w:val="20"/>
      <w:szCs w:val="20"/>
    </w:rPr>
  </w:style>
  <w:style w:type="character" w:customStyle="1" w:styleId="FootnoteTextChar">
    <w:name w:val="Footnote Text Char"/>
    <w:basedOn w:val="DefaultParagraphFont"/>
    <w:link w:val="FootnoteText"/>
    <w:uiPriority w:val="99"/>
    <w:rsid w:val="00B96615"/>
    <w:rPr>
      <w:rFonts w:eastAsia="Times New Roman" w:cs="Times New Roman"/>
      <w:sz w:val="20"/>
      <w:szCs w:val="20"/>
      <w:lang w:val="id-ID"/>
    </w:rPr>
  </w:style>
  <w:style w:type="character" w:styleId="FootnoteReference">
    <w:name w:val="footnote reference"/>
    <w:basedOn w:val="DefaultParagraphFont"/>
    <w:uiPriority w:val="99"/>
    <w:unhideWhenUsed/>
    <w:rsid w:val="00B9661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15"/>
    <w:pPr>
      <w:spacing w:after="0" w:line="360" w:lineRule="auto"/>
      <w:jc w:val="both"/>
    </w:pPr>
    <w:rPr>
      <w:rFonts w:eastAsia="Times New Roman" w:cs="Times New Roman"/>
      <w:lang w:val="id-ID"/>
    </w:rPr>
  </w:style>
  <w:style w:type="paragraph" w:styleId="Heading1">
    <w:name w:val="heading 1"/>
    <w:basedOn w:val="Normal"/>
    <w:next w:val="Normal"/>
    <w:link w:val="Heading1Char"/>
    <w:uiPriority w:val="9"/>
    <w:qFormat/>
    <w:rsid w:val="00B96615"/>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615"/>
    <w:rPr>
      <w:rFonts w:asciiTheme="majorHAnsi" w:eastAsiaTheme="majorEastAsia" w:hAnsiTheme="majorHAnsi" w:cs="Times New Roman"/>
      <w:b/>
      <w:bCs/>
      <w:color w:val="365F91" w:themeColor="accent1" w:themeShade="BF"/>
      <w:sz w:val="28"/>
      <w:szCs w:val="28"/>
      <w:lang w:val="id-ID"/>
    </w:rPr>
  </w:style>
  <w:style w:type="paragraph" w:styleId="ListParagraph">
    <w:name w:val="List Paragraph"/>
    <w:aliases w:val="Body of text,List Paragraph1"/>
    <w:basedOn w:val="Normal"/>
    <w:link w:val="ListParagraphChar"/>
    <w:uiPriority w:val="34"/>
    <w:qFormat/>
    <w:rsid w:val="00B96615"/>
    <w:pPr>
      <w:ind w:left="720"/>
      <w:contextualSpacing/>
    </w:pPr>
  </w:style>
  <w:style w:type="character" w:customStyle="1" w:styleId="ListParagraphChar">
    <w:name w:val="List Paragraph Char"/>
    <w:aliases w:val="Body of text Char,List Paragraph1 Char"/>
    <w:link w:val="ListParagraph"/>
    <w:uiPriority w:val="34"/>
    <w:locked/>
    <w:rsid w:val="00B96615"/>
    <w:rPr>
      <w:rFonts w:eastAsia="Times New Roman" w:cs="Times New Roman"/>
      <w:lang w:val="id-ID"/>
    </w:rPr>
  </w:style>
  <w:style w:type="paragraph" w:styleId="FootnoteText">
    <w:name w:val="footnote text"/>
    <w:basedOn w:val="Normal"/>
    <w:link w:val="FootnoteTextChar"/>
    <w:uiPriority w:val="99"/>
    <w:unhideWhenUsed/>
    <w:rsid w:val="00B96615"/>
    <w:pPr>
      <w:spacing w:line="240" w:lineRule="auto"/>
    </w:pPr>
    <w:rPr>
      <w:sz w:val="20"/>
      <w:szCs w:val="20"/>
    </w:rPr>
  </w:style>
  <w:style w:type="character" w:customStyle="1" w:styleId="FootnoteTextChar">
    <w:name w:val="Footnote Text Char"/>
    <w:basedOn w:val="DefaultParagraphFont"/>
    <w:link w:val="FootnoteText"/>
    <w:uiPriority w:val="99"/>
    <w:rsid w:val="00B96615"/>
    <w:rPr>
      <w:rFonts w:eastAsia="Times New Roman" w:cs="Times New Roman"/>
      <w:sz w:val="20"/>
      <w:szCs w:val="20"/>
      <w:lang w:val="id-ID"/>
    </w:rPr>
  </w:style>
  <w:style w:type="character" w:styleId="FootnoteReference">
    <w:name w:val="footnote reference"/>
    <w:basedOn w:val="DefaultParagraphFont"/>
    <w:uiPriority w:val="99"/>
    <w:unhideWhenUsed/>
    <w:rsid w:val="00B9661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2FBE9-4A8B-4A79-B0F0-A6A0CF07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2022-04-13T05:40:00Z</dcterms:created>
  <dcterms:modified xsi:type="dcterms:W3CDTF">2022-04-13T05:40:00Z</dcterms:modified>
</cp:coreProperties>
</file>